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6"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409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1-4858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INTERNATIONAL FLAVORS &amp;</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FRAGRANCES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p>
      <w:pPr>
        <w:ind w:left="2420"/>
        <w:spacing w:after="0"/>
        <w:tabs>
          <w:tab w:leader="none" w:pos="8120" w:val="left"/>
        </w:tabs>
        <w:rPr>
          <w:sz w:val="20"/>
          <w:szCs w:val="20"/>
          <w:color w:val="auto"/>
        </w:rPr>
      </w:pPr>
      <w:r>
        <w:rPr>
          <w:rFonts w:ascii="Arial" w:cs="Arial" w:eastAsia="Arial" w:hAnsi="Arial"/>
          <w:sz w:val="18"/>
          <w:szCs w:val="18"/>
          <w:b w:val="1"/>
          <w:bCs w:val="1"/>
          <w:color w:val="auto"/>
        </w:rPr>
        <w:t>New York</w:t>
      </w:r>
      <w:r>
        <w:rPr>
          <w:sz w:val="20"/>
          <w:szCs w:val="20"/>
          <w:color w:val="auto"/>
        </w:rPr>
        <w:tab/>
      </w:r>
      <w:r>
        <w:rPr>
          <w:rFonts w:ascii="Arial" w:cs="Arial" w:eastAsia="Arial" w:hAnsi="Arial"/>
          <w:sz w:val="16"/>
          <w:szCs w:val="16"/>
          <w:b w:val="1"/>
          <w:bCs w:val="1"/>
          <w:color w:val="auto"/>
        </w:rPr>
        <w:t>13-1432060</w:t>
      </w:r>
    </w:p>
    <w:p>
      <w:pPr>
        <w:spacing w:after="0" w:line="59" w:lineRule="exact"/>
        <w:rPr>
          <w:sz w:val="24"/>
          <w:szCs w:val="24"/>
          <w:color w:val="auto"/>
        </w:rPr>
      </w:pPr>
    </w:p>
    <w:p>
      <w:pPr>
        <w:ind w:left="1920"/>
        <w:spacing w:after="0"/>
        <w:tabs>
          <w:tab w:leader="none" w:pos="804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spacing w:after="0" w:line="4" w:lineRule="exact"/>
        <w:rPr>
          <w:sz w:val="24"/>
          <w:szCs w:val="24"/>
          <w:color w:val="auto"/>
        </w:rPr>
      </w:pPr>
    </w:p>
    <w:p>
      <w:pPr>
        <w:ind w:left="1880"/>
        <w:spacing w:after="0"/>
        <w:tabs>
          <w:tab w:leader="none" w:pos="798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165"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521 West 57th Street, New York, N.Y. 10019-2960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(212) 765-5500</w:t>
      </w:r>
    </w:p>
    <w:p>
      <w:pPr>
        <w:spacing w:after="0" w:line="229" w:lineRule="exact"/>
        <w:rPr>
          <w:sz w:val="24"/>
          <w:szCs w:val="24"/>
          <w:color w:val="auto"/>
        </w:rPr>
      </w:pPr>
    </w:p>
    <w:p>
      <w:pPr>
        <w:ind w:right="480"/>
        <w:spacing w:after="0" w:line="26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56" w:lineRule="exact"/>
        <w:rPr>
          <w:sz w:val="24"/>
          <w:szCs w:val="24"/>
          <w:color w:val="auto"/>
        </w:rPr>
      </w:pPr>
    </w:p>
    <w:p>
      <w:pPr>
        <w:jc w:val="both"/>
        <w:spacing w:after="0" w:line="264"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29"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339"/>
        </w:trPr>
        <w:tc>
          <w:tcPr>
            <w:tcW w:w="200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63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ind w:left="18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32"/>
        </w:trPr>
        <w:tc>
          <w:tcPr>
            <w:tcW w:w="200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6300" w:type="dxa"/>
            <w:vAlign w:val="bottom"/>
          </w:tcPr>
          <w:p>
            <w:pPr>
              <w:ind w:left="340"/>
              <w:spacing w:after="0" w:line="221" w:lineRule="exact"/>
              <w:rPr>
                <w:sz w:val="20"/>
                <w:szCs w:val="20"/>
                <w:color w:val="auto"/>
              </w:rPr>
            </w:pPr>
            <w:r>
              <w:rPr>
                <w:rFonts w:ascii="MS PGothic" w:cs="MS PGothic" w:eastAsia="MS PGothic" w:hAnsi="MS PGothic"/>
                <w:sz w:val="22"/>
                <w:szCs w:val="22"/>
                <w:color w:val="auto"/>
              </w:rPr>
              <w:t>☐</w:t>
            </w:r>
          </w:p>
        </w:tc>
        <w:tc>
          <w:tcPr>
            <w:tcW w:w="2500" w:type="dxa"/>
            <w:vAlign w:val="bottom"/>
          </w:tcPr>
          <w:p>
            <w:pPr>
              <w:ind w:left="18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46"/>
        </w:trPr>
        <w:tc>
          <w:tcPr>
            <w:tcW w:w="8300" w:type="dxa"/>
            <w:vAlign w:val="bottom"/>
            <w:gridSpan w:val="2"/>
          </w:tcPr>
          <w:p>
            <w:pPr>
              <w:spacing w:after="0"/>
              <w:rPr>
                <w:sz w:val="20"/>
                <w:szCs w:val="20"/>
                <w:color w:val="auto"/>
              </w:rPr>
            </w:pPr>
            <w:r>
              <w:rPr>
                <w:rFonts w:ascii="Arial" w:cs="Arial" w:eastAsia="Arial" w:hAnsi="Arial"/>
                <w:sz w:val="18"/>
                <w:szCs w:val="18"/>
                <w:color w:val="auto"/>
                <w:w w:val="92"/>
              </w:rPr>
              <w:t>Indicate by check mark whether the registrant is a shell company (as defined in Rule 12b-2 of the Exchange Act).</w:t>
            </w:r>
          </w:p>
        </w:tc>
        <w:tc>
          <w:tcPr>
            <w:tcW w:w="2500" w:type="dxa"/>
            <w:vAlign w:val="bottom"/>
          </w:tcPr>
          <w:p>
            <w:pPr>
              <w:ind w:left="120"/>
              <w:spacing w:after="0" w:line="242"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r>
      <w:tr>
        <w:trPr>
          <w:trHeight w:val="358"/>
        </w:trPr>
        <w:tc>
          <w:tcPr>
            <w:tcW w:w="8300" w:type="dxa"/>
            <w:vAlign w:val="bottom"/>
            <w:gridSpan w:val="2"/>
          </w:tcPr>
          <w:p>
            <w:pPr>
              <w:spacing w:after="0"/>
              <w:rPr>
                <w:sz w:val="20"/>
                <w:szCs w:val="20"/>
                <w:color w:val="auto"/>
              </w:rPr>
            </w:pPr>
            <w:r>
              <w:rPr>
                <w:rFonts w:ascii="Arial" w:cs="Arial" w:eastAsia="Arial" w:hAnsi="Arial"/>
                <w:sz w:val="18"/>
                <w:szCs w:val="18"/>
                <w:color w:val="auto"/>
              </w:rPr>
              <w:t>Number of shares outstanding as of October 24, 2016: 79,423,806</w:t>
            </w:r>
          </w:p>
        </w:tc>
        <w:tc>
          <w:tcPr>
            <w:tcW w:w="25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200" w:lineRule="exact"/>
        <w:rPr>
          <w:sz w:val="24"/>
          <w:szCs w:val="24"/>
          <w:color w:val="auto"/>
        </w:rPr>
      </w:pPr>
    </w:p>
    <w:p>
      <w:pPr>
        <w:sectPr>
          <w:pgSz w:w="11900" w:h="16838" w:orient="portrait"/>
          <w:cols w:equalWidth="0" w:num="1">
            <w:col w:w="11420"/>
          </w:cols>
          <w:pgMar w:left="240" w:top="733" w:right="239" w:bottom="1440" w:gutter="0" w:footer="0" w:header="0"/>
        </w:sectPr>
      </w:pPr>
    </w:p>
    <w:p>
      <w:pPr>
        <w:spacing w:after="0" w:line="200" w:lineRule="exact"/>
        <w:rPr>
          <w:sz w:val="24"/>
          <w:szCs w:val="24"/>
          <w:color w:val="auto"/>
        </w:rPr>
      </w:pPr>
    </w:p>
    <w:p>
      <w:pPr>
        <w:spacing w:after="0" w:line="369"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733"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ind w:right="-19"/>
        <w:spacing w:after="0" w:line="203" w:lineRule="auto"/>
        <w:rPr>
          <w:sz w:val="20"/>
          <w:szCs w:val="20"/>
          <w:color w:val="auto"/>
        </w:rPr>
      </w:pPr>
      <w:r>
        <w:rPr>
          <w:rFonts w:ascii="Arial" w:cs="Arial" w:eastAsia="Arial" w:hAnsi="Arial"/>
          <w:sz w:val="18"/>
          <w:szCs w:val="18"/>
          <w:b w:val="1"/>
          <w:bCs w:val="1"/>
          <w:color w:val="auto"/>
        </w:rPr>
        <w:t>INTERNATIONAL FLAVORS &amp; FRAGRANCES INC.</w:t>
      </w:r>
    </w:p>
    <w:p>
      <w:pPr>
        <w:jc w:val="center"/>
        <w:ind w:right="-19"/>
        <w:spacing w:after="0" w:line="204" w:lineRule="auto"/>
        <w:rPr>
          <w:sz w:val="20"/>
          <w:szCs w:val="20"/>
          <w:color w:val="auto"/>
        </w:rPr>
      </w:pPr>
      <w:r>
        <w:rPr>
          <w:rFonts w:ascii="Arial" w:cs="Arial" w:eastAsia="Arial" w:hAnsi="Arial"/>
          <w:sz w:val="18"/>
          <w:szCs w:val="18"/>
          <w:b w:val="1"/>
          <w:bCs w:val="1"/>
          <w:color w:val="auto"/>
        </w:rPr>
        <w:t>CONSOLIDATED BALANCE SHEET</w:t>
      </w:r>
    </w:p>
    <w:p>
      <w:pPr>
        <w:jc w:val="center"/>
        <w:ind w:right="-19"/>
        <w:spacing w:after="0" w:line="203" w:lineRule="auto"/>
        <w:rPr>
          <w:sz w:val="20"/>
          <w:szCs w:val="20"/>
          <w:color w:val="auto"/>
        </w:rPr>
      </w:pPr>
      <w:r>
        <w:rPr>
          <w:rFonts w:ascii="Arial" w:cs="Arial" w:eastAsia="Arial" w:hAnsi="Arial"/>
          <w:sz w:val="18"/>
          <w:szCs w:val="18"/>
          <w:color w:val="auto"/>
        </w:rPr>
        <w:t>(DOLLARS 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2016</w:t>
            </w:r>
          </w:p>
        </w:tc>
        <w:tc>
          <w:tcPr>
            <w:tcW w:w="180" w:type="dxa"/>
            <w:vAlign w:val="bottom"/>
          </w:tcPr>
          <w:p>
            <w:pPr>
              <w:spacing w:after="0"/>
              <w:rPr>
                <w:sz w:val="18"/>
                <w:szCs w:val="18"/>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 2015</w:t>
            </w: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4"/>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60"/>
        </w:trPr>
        <w:tc>
          <w:tcPr>
            <w:tcW w:w="76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7"/>
        </w:trPr>
        <w:tc>
          <w:tcPr>
            <w:tcW w:w="7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498,730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181,988</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Trade receivables (net of allowances of $9,424 and $8,229, respectively)</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587,074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537,896</w:t>
            </w: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 Raw materials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279,928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265,209</w:t>
            </w:r>
          </w:p>
        </w:tc>
      </w:tr>
      <w:tr>
        <w:trPr>
          <w:trHeight w:val="237"/>
        </w:trPr>
        <w:tc>
          <w:tcPr>
            <w:tcW w:w="7660" w:type="dxa"/>
            <w:vAlign w:val="bottom"/>
          </w:tcPr>
          <w:p>
            <w:pPr>
              <w:ind w:left="920"/>
              <w:spacing w:after="0"/>
              <w:rPr>
                <w:sz w:val="20"/>
                <w:szCs w:val="20"/>
                <w:color w:val="auto"/>
              </w:rPr>
            </w:pPr>
            <w:r>
              <w:rPr>
                <w:rFonts w:ascii="Arial" w:cs="Arial" w:eastAsia="Arial" w:hAnsi="Arial"/>
                <w:sz w:val="16"/>
                <w:szCs w:val="16"/>
                <w:color w:val="auto"/>
              </w:rPr>
              <w:t>Work in process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16,140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17,450</w:t>
            </w: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289,117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289,388</w:t>
            </w:r>
          </w:p>
        </w:tc>
      </w:tr>
      <w:tr>
        <w:trPr>
          <w:trHeight w:val="217"/>
        </w:trPr>
        <w:tc>
          <w:tcPr>
            <w:tcW w:w="7660" w:type="dxa"/>
            <w:vAlign w:val="bottom"/>
          </w:tcPr>
          <w:p>
            <w:pPr>
              <w:ind w:left="920"/>
              <w:spacing w:after="0"/>
              <w:rPr>
                <w:sz w:val="20"/>
                <w:szCs w:val="20"/>
                <w:color w:val="auto"/>
              </w:rPr>
            </w:pPr>
            <w:r>
              <w:rPr>
                <w:rFonts w:ascii="Arial" w:cs="Arial" w:eastAsia="Arial" w:hAnsi="Arial"/>
                <w:sz w:val="16"/>
                <w:szCs w:val="16"/>
                <w:color w:val="auto"/>
              </w:rPr>
              <w:t>Total Inventories</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585,185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572,047</w:t>
            </w: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186,046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145,178</w:t>
            </w: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1,857,035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1,437,109</w:t>
            </w: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at cost</w:t>
            </w: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1,876,926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1,812,283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Accumulated depreciation</w:t>
            </w: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(1,131,685)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(1,079,489)</w:t>
            </w: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745,241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732,794</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Goodwill</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941,511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941,389</w:t>
            </w: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284,608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306,004</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148,621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166,323</w:t>
            </w: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120,113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118,391</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4,097,129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3,702,010</w:t>
            </w:r>
          </w:p>
        </w:tc>
      </w:tr>
      <w:tr>
        <w:trPr>
          <w:trHeight w:val="73"/>
        </w:trPr>
        <w:tc>
          <w:tcPr>
            <w:tcW w:w="76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r>
      <w:tr>
        <w:trPr>
          <w:trHeight w:val="177"/>
        </w:trPr>
        <w:tc>
          <w:tcPr>
            <w:tcW w:w="76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LIABILITIES AND SHAREHOLDERS’ EQUITY</w:t>
            </w:r>
          </w:p>
        </w:tc>
        <w:tc>
          <w:tcPr>
            <w:tcW w:w="1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74"/>
        </w:trPr>
        <w:tc>
          <w:tcPr>
            <w:tcW w:w="76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7"/>
        </w:trPr>
        <w:tc>
          <w:tcPr>
            <w:tcW w:w="7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Bank borrowings and overdrafts and current portion of long-term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257,675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132,349</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259,208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285,501</w:t>
            </w: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payroll and bonus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59,807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48,843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Dividends payable</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50,871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44,824</w:t>
            </w: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228,363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213,639</w:t>
            </w: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855,924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725,156</w:t>
            </w: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1,110,201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935,373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Deferred gains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40,856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43,260</w:t>
            </w: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244,288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242,383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147,662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160,849</w:t>
            </w: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1,543,007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1,381,865</w:t>
            </w:r>
          </w:p>
        </w:tc>
      </w:tr>
      <w:tr>
        <w:trPr>
          <w:trHeight w:val="20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Commitments and Contingencies (Note 13)</w:t>
            </w:r>
          </w:p>
        </w:tc>
        <w:tc>
          <w:tcPr>
            <w:tcW w:w="1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r>
      <w:tr>
        <w:trPr>
          <w:trHeight w:val="47"/>
        </w:trPr>
        <w:tc>
          <w:tcPr>
            <w:tcW w:w="7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w w:val="92"/>
              </w:rPr>
              <w:t>Common stock 12 1/2¢ par value; authorized 500,000,000 shares; issued 115,858,190 shares as of September</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03"/>
        </w:trPr>
        <w:tc>
          <w:tcPr>
            <w:tcW w:w="7660" w:type="dxa"/>
            <w:vAlign w:val="bottom"/>
          </w:tcPr>
          <w:p>
            <w:pPr>
              <w:ind w:left="380"/>
              <w:spacing w:after="0"/>
              <w:rPr>
                <w:sz w:val="20"/>
                <w:szCs w:val="20"/>
                <w:color w:val="auto"/>
              </w:rPr>
            </w:pPr>
            <w:r>
              <w:rPr>
                <w:rFonts w:ascii="Arial" w:cs="Arial" w:eastAsia="Arial" w:hAnsi="Arial"/>
                <w:sz w:val="16"/>
                <w:szCs w:val="16"/>
                <w:color w:val="auto"/>
                <w:w w:val="95"/>
              </w:rPr>
              <w:t>30, 2016 and December 31, 2015 and outstanding 79,476,755 and 80,022,291 shares as of September 30,</w:t>
            </w: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6"/>
        </w:trPr>
        <w:tc>
          <w:tcPr>
            <w:tcW w:w="7660" w:type="dxa"/>
            <w:vAlign w:val="bottom"/>
          </w:tcPr>
          <w:p>
            <w:pPr>
              <w:ind w:left="380"/>
              <w:spacing w:after="0"/>
              <w:rPr>
                <w:sz w:val="20"/>
                <w:szCs w:val="20"/>
                <w:color w:val="auto"/>
              </w:rPr>
            </w:pPr>
            <w:r>
              <w:rPr>
                <w:rFonts w:ascii="Arial" w:cs="Arial" w:eastAsia="Arial" w:hAnsi="Arial"/>
                <w:sz w:val="16"/>
                <w:szCs w:val="16"/>
                <w:color w:val="auto"/>
              </w:rPr>
              <w:t>2016 and December 31, 2015</w:t>
            </w:r>
          </w:p>
        </w:tc>
        <w:tc>
          <w:tcPr>
            <w:tcW w:w="160" w:type="dxa"/>
            <w:vAlign w:val="bottom"/>
          </w:tcPr>
          <w:p>
            <w:pPr>
              <w:spacing w:after="0"/>
              <w:rPr>
                <w:sz w:val="17"/>
                <w:szCs w:val="17"/>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14,470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14,470</w:t>
            </w: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in excess of par value</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146,551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140,802</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3,789,271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3,604,254</w:t>
            </w: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(611,647)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(613,440)</w:t>
            </w: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rPr>
              <w:t>Treasury stock, at cost - 36,381,435 shares as of September 30, 2016 and 35,835,899 shares as of</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06"/>
        </w:trPr>
        <w:tc>
          <w:tcPr>
            <w:tcW w:w="7660" w:type="dxa"/>
            <w:vAlign w:val="bottom"/>
          </w:tcPr>
          <w:p>
            <w:pPr>
              <w:ind w:left="380"/>
              <w:spacing w:after="0"/>
              <w:rPr>
                <w:sz w:val="20"/>
                <w:szCs w:val="20"/>
                <w:color w:val="auto"/>
              </w:rPr>
            </w:pPr>
            <w:r>
              <w:rPr>
                <w:rFonts w:ascii="Arial" w:cs="Arial" w:eastAsia="Arial" w:hAnsi="Arial"/>
                <w:sz w:val="16"/>
                <w:szCs w:val="16"/>
                <w:color w:val="auto"/>
              </w:rPr>
              <w:t>December 31, 2015</w:t>
            </w: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(1,644,869)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(1,555,769)</w:t>
            </w: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1,693,776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1,590,317</w:t>
            </w: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4,422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4,672</w:t>
            </w: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Shareholders’ Equity including 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1,698,198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1,594,989</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4,097,129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3,702,010</w:t>
            </w:r>
          </w:p>
        </w:tc>
      </w:tr>
      <w:tr>
        <w:trPr>
          <w:trHeight w:val="33"/>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00"/>
          </w:cols>
          <w:pgMar w:left="240" w:top="580" w:right="259" w:bottom="1440" w:gutter="0" w:footer="0" w:header="0"/>
        </w:sectPr>
      </w:pP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580" w:right="25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52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4"/>
        </w:trPr>
        <w:tc>
          <w:tcPr>
            <w:tcW w:w="53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777,001</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765,092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2,353,790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2,307,540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430,733</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417,966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1,281,673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1,269,097</w:t>
            </w:r>
          </w:p>
        </w:tc>
      </w:tr>
      <w:tr>
        <w:trPr>
          <w:trHeight w:val="27"/>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346,268</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347,126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1,072,117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1,038,443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64,415</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62,750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191,052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188,725</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152,046</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122,249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408,372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372,267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Amortization of acquisition-related intangibles</w:t>
            </w:r>
          </w:p>
        </w:tc>
        <w:tc>
          <w:tcPr>
            <w:tcW w:w="2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5,468</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5,414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16,659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10,293</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124,339</w:t>
            </w:r>
          </w:p>
        </w:tc>
        <w:tc>
          <w:tcPr>
            <w:tcW w:w="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156,713</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456,034</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467,328</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13,111</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11,855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40,649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34,357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(2,162)</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1,959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(4,952)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(3,315)</w:t>
            </w:r>
          </w:p>
        </w:tc>
      </w:tr>
      <w:tr>
        <w:trPr>
          <w:trHeight w:val="27"/>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113,390</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142,899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420,337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436,286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Taxes on income</w:t>
            </w:r>
          </w:p>
        </w:tc>
        <w:tc>
          <w:tcPr>
            <w:tcW w:w="2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23,613</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36,452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95,223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96,206</w:t>
            </w:r>
          </w:p>
        </w:tc>
      </w:tr>
      <w:tr>
        <w:trPr>
          <w:trHeight w:val="27"/>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89,777</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106,447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325,114</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340,080</w:t>
            </w:r>
          </w:p>
        </w:tc>
      </w:tr>
      <w:tr>
        <w:trPr>
          <w:trHeight w:val="223"/>
        </w:trPr>
        <w:tc>
          <w:tcPr>
            <w:tcW w:w="5380" w:type="dxa"/>
            <w:vAlign w:val="bottom"/>
          </w:tcPr>
          <w:p>
            <w:pPr>
              <w:ind w:left="40"/>
              <w:spacing w:after="0"/>
              <w:rPr>
                <w:sz w:val="20"/>
                <w:szCs w:val="20"/>
                <w:color w:val="auto"/>
              </w:rPr>
            </w:pPr>
            <w:r>
              <w:rPr>
                <w:rFonts w:ascii="Arial" w:cs="Arial" w:eastAsia="Arial" w:hAnsi="Arial"/>
                <w:sz w:val="18"/>
                <w:szCs w:val="18"/>
                <w:color w:val="auto"/>
              </w:rPr>
              <w:t>Other comprehensive income (loss), after tax:</w:t>
            </w: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41"/>
        </w:trPr>
        <w:tc>
          <w:tcPr>
            <w:tcW w:w="5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(6,191)</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(48,368)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(81,326)</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(Losses) gains on derivatives qualifying as hedges</w:t>
            </w:r>
          </w:p>
        </w:tc>
        <w:tc>
          <w:tcPr>
            <w:tcW w:w="2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268</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(12,498)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(9,124)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(6,381)</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postretirement net liability</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2,586</w:t>
            </w:r>
          </w:p>
        </w:tc>
        <w:tc>
          <w:tcPr>
            <w:tcW w:w="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5,478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7,719</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16,501</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(3,337)</w:t>
            </w:r>
          </w:p>
        </w:tc>
        <w:tc>
          <w:tcPr>
            <w:tcW w:w="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(55,388)</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1,793</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(71,206)</w:t>
            </w:r>
          </w:p>
        </w:tc>
      </w:tr>
      <w:tr>
        <w:trPr>
          <w:trHeight w:val="27"/>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86,440</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51,059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326,907</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268,874</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income per share - 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1.12</w:t>
            </w:r>
          </w:p>
        </w:tc>
        <w:tc>
          <w:tcPr>
            <w:tcW w:w="3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4.05</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4.18</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number of shares outstanding - basic</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79,580</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80,330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79,727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80,602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Average number of shares outstanding - diluted</w:t>
            </w:r>
          </w:p>
        </w:tc>
        <w:tc>
          <w:tcPr>
            <w:tcW w:w="2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79,935</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80,737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80,067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81,052</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0.64</w:t>
            </w:r>
          </w:p>
        </w:tc>
        <w:tc>
          <w:tcPr>
            <w:tcW w:w="3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0.56</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r>
      <w:tr>
        <w:trPr>
          <w:trHeight w:val="27"/>
        </w:trPr>
        <w:tc>
          <w:tcPr>
            <w:tcW w:w="5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325,114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340,080</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75,109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65,099</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13,134</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Gain on disposal of assets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(2,998)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18,355</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Pension contributions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(44,356)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(61,125)</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 net of acquisitions: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Trade receivables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(36,070)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(108,563)</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(31,655)</w:t>
            </w:r>
          </w:p>
        </w:tc>
        <w:tc>
          <w:tcPr>
            <w:tcW w:w="0" w:type="dxa"/>
            <w:vAlign w:val="bottom"/>
          </w:tcPr>
          <w:p>
            <w:pPr>
              <w:spacing w:after="0"/>
              <w:rPr>
                <w:sz w:val="1"/>
                <w:szCs w:val="1"/>
                <w:color w:val="auto"/>
              </w:rPr>
            </w:pP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(29,523)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54,482</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Accruals for incentive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(13,781)</w:t>
            </w:r>
          </w:p>
        </w:tc>
        <w:tc>
          <w:tcPr>
            <w:tcW w:w="0" w:type="dxa"/>
            <w:vAlign w:val="bottom"/>
          </w:tcPr>
          <w:p>
            <w:pPr>
              <w:spacing w:after="0"/>
              <w:rPr>
                <w:sz w:val="1"/>
                <w:szCs w:val="1"/>
                <w:color w:val="auto"/>
              </w:rPr>
            </w:pP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Other current payables and accrued expenses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30,663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34,585</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(30,098)</w:t>
            </w:r>
          </w:p>
        </w:tc>
        <w:tc>
          <w:tcPr>
            <w:tcW w:w="0" w:type="dxa"/>
            <w:vAlign w:val="bottom"/>
          </w:tcPr>
          <w:p>
            <w:pPr>
              <w:spacing w:after="0"/>
              <w:rPr>
                <w:sz w:val="1"/>
                <w:szCs w:val="1"/>
                <w:color w:val="auto"/>
              </w:rPr>
            </w:pP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Other liabilities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14,523</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329,353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294,695</w:t>
            </w:r>
          </w:p>
        </w:tc>
        <w:tc>
          <w:tcPr>
            <w:tcW w:w="0" w:type="dxa"/>
            <w:vAlign w:val="bottom"/>
          </w:tcPr>
          <w:p>
            <w:pPr>
              <w:spacing w:after="0"/>
              <w:rPr>
                <w:sz w:val="1"/>
                <w:szCs w:val="1"/>
                <w:color w:val="auto"/>
              </w:rPr>
            </w:pP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for acquisitions, net of cash received</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(493,469)</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(70,179)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(66,632)</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life insurance contracts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Maturity of net investment hedges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9,735</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disposal of assets</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(66,235)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(546,067)</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Cash dividends paid to shareholders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(134,051)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(113,875)</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(decrease) in revolving credit facility borrowings and overdrafts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249,998</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Deferred financing costs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of debt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555,559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pre-issuance hedges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Proceeds from issuance of stock under stock plans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benefits on stock-based payments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11,704</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Purchase of treasury stock</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(94,148)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(81,237)</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65,775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66,878</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(21,803)</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316,742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(206,297)</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181,988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478,573</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498,730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272,276</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Interest paid, net of amounts capitalized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60" w:type="dxa"/>
            <w:vAlign w:val="bottom"/>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45,008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42,871</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paid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80,050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71,167</w:t>
            </w:r>
          </w:p>
        </w:tc>
        <w:tc>
          <w:tcPr>
            <w:tcW w:w="0" w:type="dxa"/>
            <w:vAlign w:val="bottom"/>
          </w:tcPr>
          <w:p>
            <w:pPr>
              <w:spacing w:after="0"/>
              <w:rPr>
                <w:sz w:val="1"/>
                <w:szCs w:val="1"/>
                <w:color w:val="auto"/>
              </w:rPr>
            </w:pPr>
          </w:p>
        </w:tc>
      </w:tr>
      <w:tr>
        <w:trPr>
          <w:trHeight w:val="27"/>
        </w:trPr>
        <w:tc>
          <w:tcPr>
            <w:tcW w:w="7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580" w:right="2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Consolidated Financial Statements: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These interim statements and related management’s discussion and analysis should be read in conjunction with the Consolidated Financial Statements and the related notes and management’s discussion and analysis of results of operations, liquidity and capital resources included in our 2015 Annual Report on Form 10-K (“2015 Form 10-K”). These interim statements are unaudited. The year-end balance sheet data included in this Form 10-Q was derived from audited financial statements, but does not include all disclosures required by generally accepted accounting principles in the United States of America. We have historically operated and continue to operate on a 52/53 week fiscal year ending on the Friday closest to the last day of the quarter. For ease of presentation, September 30 and December 31 are used consistently throughout this Form 10-Q and these interim financial statements and related notes to represent the period-end dates. For the 2016 and 2015 quarters, the actual closing dates were September 30, and October 2, respectively. The unaudited interim financial statements include all adjustments (consisting only of normal recurring adjustments) and accruals necessary in the judgment of management for a fair statement of the results for the periods presented. When used herein, the terms “IFF,” the “Company,” “we,” “us” and “our” mean International Flavors &amp; Fragrances Inc. and its consolidated subsidiaries.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Reclassifications and Revisions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prior year amounts have been reclassified and revised to conform with current year presentation.</w:t>
      </w:r>
    </w:p>
    <w:p>
      <w:pPr>
        <w:spacing w:after="0" w:line="252"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Consolidated Balance Sheet as of December 31, 2015, has been revised to properly reflect in-bound goods in transit. Accordingly, Inventory and Accounts payable decreased by $17.0 million. This adjustment was not material to the previously issued financial statements.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In August 2016, the Financial Accounting Standards Board (“FASB”) issued authoritative guidance which requires changes to the classification of certain activities within the statement of cash flows. This guidance will be effective for annual and interim periods beginning after December 15, 2017. Early adoption will be permitted for all entities. The Company does not expect this adoption will have a significant impact on its statement of cash flows.</w:t>
      </w:r>
    </w:p>
    <w:p>
      <w:pPr>
        <w:spacing w:after="0" w:line="93"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In March 2016, the FASB issued authoritative guidance which requires changes to several aspects of the accounting for share-based payment transactions, including the treatment of income tax consequences, classification of awards as either equity or liabilities, and classification of certain items on the statement of cash flows. This guidance will be effective for annual and interim periods beginning after December 15, 2016. Early adoption will be permitted for all entities. Among other changes, the standard requires that employee taxes paid when an employer withholds shares be presented in the Consolidated Statement of Cash Flows as a financing activity instead of an operating activity. The Company expects to adopt this change retroactively and that the impact of this aspect of the standard on the Consolidated Statement of Cash Flows will be approximately $20-$25 million on an annual basis. The Company is currently evaluating the other changes required by the standard.</w:t>
      </w:r>
    </w:p>
    <w:p>
      <w:pPr>
        <w:spacing w:after="0" w:line="12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February 2016, the FASB issued authoritative guidance which requires changes to the accounting for leases. The new guidance establishes a new lease accounting model, that requires entities to record assets and liabilities related to leases on the balance sheet for certain types of leases. The guidance will be effective for annual and interim periods beginning after December 31, 2018. Early adoption will be permitted for all entities. The Company expects the adoption of this guidance will result in significant increases to assets and liabilities on its Consolidated Balance Sheet and is still evaluating the impact on its Consolidated Statement of Comprehensive Income.</w:t>
      </w:r>
    </w:p>
    <w:p>
      <w:pPr>
        <w:spacing w:after="0" w:line="134" w:lineRule="exact"/>
        <w:rPr>
          <w:sz w:val="20"/>
          <w:szCs w:val="20"/>
          <w:color w:val="auto"/>
        </w:rPr>
      </w:pPr>
    </w:p>
    <w:p>
      <w:pPr>
        <w:ind w:right="340" w:firstLine="405"/>
        <w:spacing w:after="0" w:line="279" w:lineRule="auto"/>
        <w:rPr>
          <w:sz w:val="20"/>
          <w:szCs w:val="20"/>
          <w:color w:val="auto"/>
        </w:rPr>
      </w:pPr>
      <w:r>
        <w:rPr>
          <w:rFonts w:ascii="Arial" w:cs="Arial" w:eastAsia="Arial" w:hAnsi="Arial"/>
          <w:sz w:val="17"/>
          <w:szCs w:val="17"/>
          <w:color w:val="auto"/>
        </w:rPr>
        <w:t>In September 2015, the FASB issued authoritative guidance relating to the adjustments made during the measurement period for items in a business combination. Specifically, the new guidance requires adjustments related to the finalization of estimates to be recorded in the period when they are determined and to provide certain additional disclosures. This guidance is effective for fiscal years beginning after December 15, 2015. The Company adopted this guidance during 2016 and the adoption did not have a significant impact on its consolidated financial statements.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April 2015, the FASB issued authoritative guidance which requires that debt issuance costs related to a recognized debt liability be presented in the balance sheet as a direct deduction from the carrying amount of that debt liability. This guidance is effective for annual and interim periods beginning after December 15, 2015. The Company adopted this guidance retrospectively in 2016 and accordingly has reclassified all debt issuance costs on long-term debt as a direct deduction from the</w:t>
      </w: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580" w:right="279" w:bottom="1440" w:gutter="0" w:footer="0" w:header="0"/>
        </w:sectPr>
      </w:pPr>
    </w:p>
    <w:bookmarkStart w:id="5" w:name="page6"/>
    <w:bookmarkEnd w:id="5"/>
    <w:p>
      <w:pPr>
        <w:ind w:right="320"/>
        <w:spacing w:after="0" w:line="277" w:lineRule="auto"/>
        <w:rPr>
          <w:sz w:val="20"/>
          <w:szCs w:val="20"/>
          <w:color w:val="auto"/>
        </w:rPr>
      </w:pPr>
      <w:r>
        <w:rPr>
          <w:rFonts w:ascii="Arial" w:cs="Arial" w:eastAsia="Arial" w:hAnsi="Arial"/>
          <w:sz w:val="18"/>
          <w:szCs w:val="18"/>
          <w:color w:val="auto"/>
        </w:rPr>
        <w:t>carrying amount of the debt liability in the Consolidated Balance Sheet as of December 31, 2015. The adoption of this guidance did not have a significant impact on its consolidated financial statements.</w:t>
      </w:r>
    </w:p>
    <w:p>
      <w:pPr>
        <w:spacing w:after="0" w:line="11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May 2014, the FASB issued authoritative guidance to clarify the principles to be used to recognize revenue and made subsequent clarifications under the new requirements during May 2016. The guidance is applicable to all entities and is effective for annual and interim periods beginning after December 15, 2017. Adoption as of the original effective date is permitted. The Company is currently evaluating the impact that this new standard will have on its consolidated financial statements.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Accounts Receivable</w:t>
      </w:r>
    </w:p>
    <w:p>
      <w:pPr>
        <w:spacing w:after="0" w:line="171"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The Company sells certain accounts receivable on a non-recourse basis to unrelated financial institutions under “factoring” agreements that are sponsored, solely and individually, by certain customers. The Company accounts for these transactions as sales of receivables, removes the receivables sold from its financial statements, and records cash proceeds when received by the Company. The beneficial impact on cash provided by operations from participating in these programs increased approximately $25.8 million for the nine months ended September 30, 2016 compared to an increase of approximately $0.2 million for the nine months ended September 30, 2015. The cost of participating in these programs was immaterial to our results in all periods.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Income Per Share:</w:t>
      </w:r>
    </w:p>
    <w:p>
      <w:pPr>
        <w:spacing w:after="0" w:line="94"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Net income per share is based on the weighted average number of shares outstanding. A reconciliation of the shares used in the computation of basic and diluted net income per share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3260" w:type="dxa"/>
            <w:vAlign w:val="bottom"/>
            <w:gridSpan w:val="4"/>
          </w:tcPr>
          <w:p>
            <w:pPr>
              <w:ind w:left="480"/>
              <w:spacing w:after="0"/>
              <w:rPr>
                <w:sz w:val="20"/>
                <w:szCs w:val="20"/>
                <w:color w:val="auto"/>
              </w:rPr>
            </w:pPr>
            <w:r>
              <w:rPr>
                <w:rFonts w:ascii="Arial" w:cs="Arial" w:eastAsia="Arial" w:hAnsi="Arial"/>
                <w:sz w:val="14"/>
                <w:szCs w:val="14"/>
                <w:b w:val="1"/>
                <w:bCs w:val="1"/>
                <w:color w:val="auto"/>
              </w:rPr>
              <w:t>Three Months Ended September 30,</w:t>
            </w:r>
          </w:p>
        </w:tc>
        <w:tc>
          <w:tcPr>
            <w:tcW w:w="3140" w:type="dxa"/>
            <w:vAlign w:val="bottom"/>
            <w:gridSpan w:val="3"/>
          </w:tcPr>
          <w:p>
            <w:pPr>
              <w:jc w:val="right"/>
              <w:ind w:right="39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(SHARES IN THOUSANDS)</w:t>
            </w:r>
          </w:p>
        </w:tc>
        <w:tc>
          <w:tcPr>
            <w:tcW w:w="154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79,580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80,330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79,727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80,602</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Assumed dilution under stock plans</w:t>
            </w:r>
          </w:p>
        </w:tc>
        <w:tc>
          <w:tcPr>
            <w:tcW w:w="1540" w:type="dxa"/>
            <w:vAlign w:val="bottom"/>
          </w:tcPr>
          <w:p>
            <w:pPr>
              <w:jc w:val="right"/>
              <w:ind w:right="37"/>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1520" w:type="dxa"/>
            <w:vAlign w:val="bottom"/>
          </w:tcPr>
          <w:p>
            <w:pPr>
              <w:jc w:val="right"/>
              <w:ind w:right="37"/>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450</w:t>
            </w:r>
          </w:p>
        </w:tc>
      </w:tr>
      <w:tr>
        <w:trPr>
          <w:trHeight w:val="27"/>
        </w:trPr>
        <w:tc>
          <w:tcPr>
            <w:tcW w:w="44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79,935</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80,737</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80,067</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81,052</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An immaterial amount of stock-settled appreciation rights (“SSARs”) were excluded from the computation of diluted net income per share for the three and nine months ended September 30, 2016. There were no stock options or SSARs excluded from the 2015 periods.</w:t>
      </w:r>
    </w:p>
    <w:p>
      <w:pPr>
        <w:spacing w:after="0" w:line="116"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Company has issued shares of purchased restricted common stock and purchase restricted common stock units (collectively “PRSUs”) which contain rights to nonforfeitable dividends while these shares are outstanding and thus are considered participating securities. Such securities are required to be included in the computation of basic and diluted earnings per share pursuant to the two-class method. The Company did not present the two-class method since the difference between basic and diluted net income per share for both unrestricted common shareholders and PRSU shareholders was less than $0.01 per share for each period presented, and the number of PRSUs outstanding as of September 30, 2016 and 2015 was immaterial. Net income allocated to such PRSUs was $0.2 million and $0.5 million for the three months ended September 30, 2016 and 2015, respectively and $0.8 million and $1.6 million during the nine months ended September 30, 2016 and 2015,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Activity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Michael</w:t>
      </w:r>
    </w:p>
    <w:p>
      <w:pPr>
        <w:spacing w:after="0" w:line="9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On October 7, 2016, the Company completed the acquisition of 100% of the outstanding shares of David Michael &amp; Company, Inc. ("David Michael") for approximately $242 million. The purchase price was funded from existing resources. David Michael was acquired to strengthen the North American flavors business. The acquisition will be accounted for as a business combination and is not expected to have a material impact on the consolidated statement of comprehensive income for 2016.</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Lucas Meyer</w:t>
      </w:r>
    </w:p>
    <w:p>
      <w:pPr>
        <w:spacing w:after="0" w:line="90"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During the third quarter of 2015, the Company completed the acquisition of 100% of the outstanding shares of Lucas Meyer Cosmetics, a business of Unipex Group. The total shares acquired include shares effectively acquired pursuant to put and call option agreements. The acquisition was accounted for under the purchase method. Total consideration was approximately Euro 284.0 million ($312.1 million), including approximately $4.8 million of cash acquired. The Company paid</w:t>
      </w: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746" w:right="259" w:bottom="1440" w:gutter="0" w:footer="0" w:header="0"/>
        </w:sectPr>
      </w:pPr>
    </w:p>
    <w:bookmarkStart w:id="6" w:name="page7"/>
    <w:bookmarkEnd w:id="6"/>
    <w:p>
      <w:pPr>
        <w:ind w:right="20"/>
        <w:spacing w:after="0" w:line="272" w:lineRule="auto"/>
        <w:rPr>
          <w:sz w:val="20"/>
          <w:szCs w:val="20"/>
          <w:color w:val="auto"/>
        </w:rPr>
      </w:pPr>
      <w:r>
        <w:rPr>
          <w:rFonts w:ascii="Arial" w:cs="Arial" w:eastAsia="Arial" w:hAnsi="Arial"/>
          <w:sz w:val="17"/>
          <w:szCs w:val="17"/>
          <w:color w:val="auto"/>
        </w:rPr>
        <w:t>Euro 282.1 million (approximately $309.9 million) for the acquisition, which was funded from existing resources, and recorded a liability of approximately Euro 2.0 million (approximately $2.2 million) for shares to be purchased under the put and call option agreements. The purchase price exceeded the fair value of existing net assets by approximately $290.1 million. The excess was allocated principally to identifiable intangible assets (approximately $156.4 million), goodwill (approximately $179.5 million) and approximately $38.1 million to deferred taxes. Goodwill represents the excess of the purchase price over the fair value of net assets acquired. Separately identifiable intangible assets are principally related to customer relationships, proprietary technology and patents. The intangible assets are being amortized over the following estimated useful lives: trade names and proprietary technology, 28 years; customer relationships, 23 years; patents, 11 years; and non-solicitation agreements, 3 years.</w:t>
      </w:r>
    </w:p>
    <w:p>
      <w:pPr>
        <w:spacing w:after="0" w:line="124" w:lineRule="exact"/>
        <w:rPr>
          <w:sz w:val="20"/>
          <w:szCs w:val="20"/>
          <w:color w:val="auto"/>
        </w:rPr>
      </w:pPr>
    </w:p>
    <w:p>
      <w:pPr>
        <w:ind w:right="1140" w:firstLine="324"/>
        <w:spacing w:after="0" w:line="277" w:lineRule="auto"/>
        <w:rPr>
          <w:sz w:val="20"/>
          <w:szCs w:val="20"/>
          <w:color w:val="auto"/>
        </w:rPr>
      </w:pPr>
      <w:r>
        <w:rPr>
          <w:rFonts w:ascii="Arial" w:cs="Arial" w:eastAsia="Arial" w:hAnsi="Arial"/>
          <w:sz w:val="18"/>
          <w:szCs w:val="18"/>
          <w:color w:val="auto"/>
        </w:rPr>
        <w:t>No pro forma financial information for 2015 is presented as the impact of the acquisition was immaterial to the Consolidated Statement of Comprehensive Income. The purchase price allocation was completed during the second quarter of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Ottens Flavors</w:t>
      </w:r>
    </w:p>
    <w:p>
      <w:pPr>
        <w:spacing w:after="0" w:line="171"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During the second quarter of 2015, the Company completed the acquisition of 100% of the outstanding shares of Henry H. Ottens Manufacturing Co., Inc. ("Ottens Flavors"). The acquisition was accounted for under the purchase method. The Company paid $198.9 million (including $10.4 million of cash acquired) for this acquisition, which was funded from existing resources. The purchase price allocation was completed during the fourth quarter of 2015. No pro forma financial information for 2015 is presented as the impact of the acquisition was not material to the consolidated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 and Other Charges, Net:</w:t>
      </w:r>
    </w:p>
    <w:p>
      <w:pPr>
        <w:spacing w:after="0" w:line="94"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During the fourth quarter of 2015, the Company established a series of initiatives intended to streamline its management structure, simplify decision-making and accountability, better leverage and align its capabilities across the organization and improve efficiency of its global manufacturing and operations network. As a result, in the fourth quarter of 2015, the Company recorded a pre-tax charge of $7.6 million, included in restructuring and other charges, net, related to severance and related costs pertaining to approximately 150 positions that will be affected. During 2016, the Company made payments of $1.8 million and recorded accelerated depreciation expense of $0.5 million. The total cost of the plan is expected to be approximately $10.5 million with the remaining charges relating principally to accelerated depreciation. The Company expects the plan to be fully implemented in the second half of 2017.</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gridSpan w:val="8"/>
          </w:tcPr>
          <w:p>
            <w:pPr>
              <w:ind w:left="420"/>
              <w:spacing w:after="0"/>
              <w:rPr>
                <w:sz w:val="20"/>
                <w:szCs w:val="20"/>
                <w:color w:val="auto"/>
              </w:rPr>
            </w:pPr>
            <w:r>
              <w:rPr>
                <w:rFonts w:ascii="Arial" w:cs="Arial" w:eastAsia="Arial" w:hAnsi="Arial"/>
                <w:sz w:val="18"/>
                <w:szCs w:val="18"/>
                <w:color w:val="auto"/>
                <w:w w:val="93"/>
              </w:rPr>
              <w:t>Changes in employee-related restructuring liabilities during the nine months ended September 30, 2016, were as follows:</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1"/>
              </w:rPr>
              <w:t>Employee-Related Costs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w w:val="96"/>
              </w:rPr>
              <w:t>Accelerated Depreciation</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Additional charges (reversals), net</w:t>
            </w:r>
          </w:p>
        </w:tc>
        <w:tc>
          <w:tcPr>
            <w:tcW w:w="380" w:type="dxa"/>
            <w:vAlign w:val="bottom"/>
          </w:tcPr>
          <w:p>
            <w:pPr>
              <w:spacing w:after="0"/>
              <w:rPr>
                <w:sz w:val="21"/>
                <w:szCs w:val="21"/>
                <w:color w:val="auto"/>
              </w:rPr>
            </w:pPr>
          </w:p>
        </w:tc>
        <w:tc>
          <w:tcPr>
            <w:tcW w:w="2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360" w:type="dxa"/>
            <w:vAlign w:val="bottom"/>
            <w:gridSpan w:val="2"/>
          </w:tcPr>
          <w:p>
            <w:pPr>
              <w:jc w:val="right"/>
              <w:ind w:right="1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charges</w:t>
            </w:r>
          </w:p>
        </w:tc>
        <w:tc>
          <w:tcPr>
            <w:tcW w:w="38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Payments and other costs</w:t>
            </w:r>
          </w:p>
        </w:tc>
        <w:tc>
          <w:tcPr>
            <w:tcW w:w="38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2016</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92"/>
              </w:rPr>
              <w:t>Note 5. Goodwill and Other Intangible Assets, Net: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80" w:type="dxa"/>
            <w:vAlign w:val="bottom"/>
            <w:gridSpan w:val="2"/>
          </w:tcPr>
          <w:p>
            <w:pPr>
              <w:ind w:left="440"/>
              <w:spacing w:after="0"/>
              <w:rPr>
                <w:sz w:val="20"/>
                <w:szCs w:val="20"/>
                <w:color w:val="auto"/>
              </w:rPr>
            </w:pPr>
            <w:r>
              <w:rPr>
                <w:rFonts w:ascii="Arial" w:cs="Arial" w:eastAsia="Arial" w:hAnsi="Arial"/>
                <w:sz w:val="18"/>
                <w:szCs w:val="18"/>
                <w:color w:val="auto"/>
                <w:w w:val="94"/>
              </w:rPr>
              <w:t>Movements in goodwill during 2016 were as follows:</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80" w:type="dxa"/>
            <w:vAlign w:val="bottom"/>
            <w:tcBorders>
              <w:bottom w:val="single" w:sz="8" w:color="CCEEFF"/>
            </w:tcBorders>
          </w:tcPr>
          <w:p>
            <w:pPr>
              <w:spacing w:after="0"/>
              <w:rPr>
                <w:sz w:val="24"/>
                <w:szCs w:val="24"/>
                <w:color w:val="auto"/>
              </w:rPr>
            </w:pPr>
          </w:p>
        </w:tc>
        <w:tc>
          <w:tcPr>
            <w:tcW w:w="2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2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7"/>
              </w:rPr>
              <w:t>Goodwill</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38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941,389</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3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4,777</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Balance at September 30, 2016</w:t>
            </w:r>
          </w:p>
        </w:tc>
        <w:tc>
          <w:tcPr>
            <w:tcW w:w="3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941,511</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decrease reflected in Other above is the impact of finalizing the purchase price allocation of Lucas Meyer as disclosed in Note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6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Other Intangible Assets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intangible assets, net consist of the following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300" w:type="dxa"/>
            <w:vAlign w:val="bottom"/>
          </w:tcPr>
          <w:p>
            <w:pPr>
              <w:jc w:val="right"/>
              <w:ind w:right="253"/>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Cost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290,838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293,799</w:t>
            </w:r>
          </w:p>
        </w:tc>
      </w:tr>
      <w:tr>
        <w:trPr>
          <w:trHeight w:val="27"/>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 &amp; patents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31,718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34,182</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Technological know-how</w:t>
            </w:r>
          </w:p>
        </w:tc>
        <w:tc>
          <w:tcPr>
            <w:tcW w:w="22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111,842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112,393</w:t>
            </w:r>
          </w:p>
        </w:tc>
      </w:tr>
      <w:tr>
        <w:trPr>
          <w:trHeight w:val="27"/>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22,711</w:t>
            </w:r>
          </w:p>
        </w:tc>
      </w:tr>
      <w:tr>
        <w:trPr>
          <w:trHeight w:val="237"/>
        </w:trPr>
        <w:tc>
          <w:tcPr>
            <w:tcW w:w="7760" w:type="dxa"/>
            <w:vAlign w:val="bottom"/>
          </w:tcPr>
          <w:p>
            <w:pPr>
              <w:ind w:left="220"/>
              <w:spacing w:after="0"/>
              <w:rPr>
                <w:sz w:val="20"/>
                <w:szCs w:val="20"/>
                <w:color w:val="auto"/>
              </w:rPr>
            </w:pPr>
            <w:r>
              <w:rPr>
                <w:rFonts w:ascii="Arial" w:cs="Arial" w:eastAsia="Arial" w:hAnsi="Arial"/>
                <w:sz w:val="18"/>
                <w:szCs w:val="18"/>
                <w:color w:val="auto"/>
              </w:rPr>
              <w:t>Total carrying value</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458,486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463,085</w:t>
            </w:r>
          </w:p>
        </w:tc>
      </w:tr>
      <w:tr>
        <w:trPr>
          <w:trHeight w:val="27"/>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Accumulated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(77,935)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(66,324)</w:t>
            </w:r>
          </w:p>
        </w:tc>
      </w:tr>
      <w:tr>
        <w:trPr>
          <w:trHeight w:val="27"/>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 &amp; patents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(10,282)</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Technological know-how</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(67,279)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(65,258)</w:t>
            </w:r>
          </w:p>
        </w:tc>
      </w:tr>
      <w:tr>
        <w:trPr>
          <w:trHeight w:val="27"/>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(15,217)</w:t>
            </w:r>
          </w:p>
        </w:tc>
      </w:tr>
      <w:tr>
        <w:trPr>
          <w:trHeight w:val="237"/>
        </w:trPr>
        <w:tc>
          <w:tcPr>
            <w:tcW w:w="7760" w:type="dxa"/>
            <w:vAlign w:val="bottom"/>
          </w:tcPr>
          <w:p>
            <w:pPr>
              <w:ind w:left="220"/>
              <w:spacing w:after="0"/>
              <w:rPr>
                <w:sz w:val="20"/>
                <w:szCs w:val="20"/>
                <w:color w:val="auto"/>
              </w:rPr>
            </w:pPr>
            <w:r>
              <w:rPr>
                <w:rFonts w:ascii="Arial" w:cs="Arial" w:eastAsia="Arial" w:hAnsi="Arial"/>
                <w:sz w:val="18"/>
                <w:szCs w:val="18"/>
                <w:color w:val="auto"/>
              </w:rPr>
              <w:t>Total accumulated amortization</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(173,878)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(157,081)</w:t>
            </w:r>
          </w:p>
        </w:tc>
      </w:tr>
      <w:tr>
        <w:trPr>
          <w:trHeight w:val="27"/>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76"/>
        </w:trPr>
        <w:tc>
          <w:tcPr>
            <w:tcW w:w="77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r>
      <w:tr>
        <w:trPr>
          <w:trHeight w:val="237"/>
        </w:trPr>
        <w:tc>
          <w:tcPr>
            <w:tcW w:w="7760" w:type="dxa"/>
            <w:vAlign w:val="bottom"/>
          </w:tcPr>
          <w:p>
            <w:pPr>
              <w:ind w:left="220"/>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284,608</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306,004</w:t>
            </w:r>
          </w:p>
        </w:tc>
      </w:tr>
      <w:tr>
        <w:trPr>
          <w:trHeight w:val="27"/>
        </w:trPr>
        <w:tc>
          <w:tcPr>
            <w:tcW w:w="7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w:t>
      </w:r>
    </w:p>
    <w:p>
      <w:pPr>
        <w:spacing w:after="0" w:line="17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Amortization expense was $5.5 million and $5.4 million for the three months ended September 30, 2016 and 2015, respectively and $16.7 million and $10.3 million for the nine months ended September 30, 2016 and 2015, respectively. Annual amortization is expected to be $21.9 million for the full year 2016, $21.5 million for the year 2017, $21.2 million for the year 2018, $20.1 million for the year 2019, $19.4 million for the year 2020 and $15.2 million for the year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Maturities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September 30, 2016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December 31, 2015</w:t>
            </w:r>
          </w:p>
        </w:tc>
      </w:tr>
      <w:tr>
        <w:trPr>
          <w:trHeight w:val="270"/>
        </w:trPr>
        <w:tc>
          <w:tcPr>
            <w:tcW w:w="4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- 2006 </w:t>
            </w:r>
            <w:r>
              <w:rPr>
                <w:rFonts w:ascii="Arial" w:cs="Arial" w:eastAsia="Arial" w:hAnsi="Arial"/>
                <w:sz w:val="25"/>
                <w:szCs w:val="25"/>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124,964</w:t>
            </w:r>
          </w:p>
        </w:tc>
      </w:tr>
      <w:tr>
        <w:trPr>
          <w:trHeight w:val="270"/>
        </w:trPr>
        <w:tc>
          <w:tcPr>
            <w:tcW w:w="4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- 2007 </w:t>
            </w:r>
            <w:r>
              <w:rPr>
                <w:rFonts w:ascii="Arial" w:cs="Arial" w:eastAsia="Arial" w:hAnsi="Arial"/>
                <w:sz w:val="25"/>
                <w:szCs w:val="25"/>
                <w:color w:val="auto"/>
                <w:vertAlign w:val="superscript"/>
              </w:rPr>
              <w:t>(1)</w:t>
            </w:r>
          </w:p>
        </w:tc>
        <w:tc>
          <w:tcPr>
            <w:tcW w:w="128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2017-27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499,638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499,618</w:t>
            </w:r>
          </w:p>
        </w:tc>
      </w:tr>
      <w:tr>
        <w:trPr>
          <w:trHeight w:val="270"/>
        </w:trPr>
        <w:tc>
          <w:tcPr>
            <w:tcW w:w="4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- 2013 </w:t>
            </w:r>
            <w:r>
              <w:rPr>
                <w:rFonts w:ascii="Arial" w:cs="Arial" w:eastAsia="Arial" w:hAnsi="Arial"/>
                <w:sz w:val="25"/>
                <w:szCs w:val="25"/>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297,916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297,683</w:t>
            </w:r>
          </w:p>
        </w:tc>
      </w:tr>
      <w:tr>
        <w:trPr>
          <w:trHeight w:val="270"/>
        </w:trPr>
        <w:tc>
          <w:tcPr>
            <w:tcW w:w="4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Euro Senior notes - 2016 </w:t>
            </w:r>
            <w:r>
              <w:rPr>
                <w:rFonts w:ascii="Arial" w:cs="Arial" w:eastAsia="Arial" w:hAnsi="Arial"/>
                <w:sz w:val="25"/>
                <w:szCs w:val="25"/>
                <w:color w:val="auto"/>
                <w:vertAlign w:val="superscript"/>
              </w:rPr>
              <w:t>(1)</w:t>
            </w:r>
          </w:p>
        </w:tc>
        <w:tc>
          <w:tcPr>
            <w:tcW w:w="12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555,381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131,196</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Bank overdrafts and other</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13,112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10,982</w:t>
            </w:r>
          </w:p>
        </w:tc>
      </w:tr>
      <w:tr>
        <w:trPr>
          <w:trHeight w:val="27"/>
        </w:trPr>
        <w:tc>
          <w:tcPr>
            <w:tcW w:w="4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realized gains on interest rate swaps</w:t>
            </w: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3,279</w:t>
            </w:r>
          </w:p>
        </w:tc>
      </w:tr>
      <w:tr>
        <w:trPr>
          <w:trHeight w:val="237"/>
        </w:trPr>
        <w:tc>
          <w:tcPr>
            <w:tcW w:w="4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1,367,876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1,067,722</w:t>
            </w:r>
          </w:p>
        </w:tc>
      </w:tr>
      <w:tr>
        <w:trPr>
          <w:trHeight w:val="27"/>
        </w:trPr>
        <w:tc>
          <w:tcPr>
            <w:tcW w:w="4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(132,349)</w:t>
            </w:r>
          </w:p>
        </w:tc>
      </w:tr>
      <w:tr>
        <w:trPr>
          <w:trHeight w:val="237"/>
        </w:trPr>
        <w:tc>
          <w:tcPr>
            <w:tcW w:w="4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1,110,201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935,373</w:t>
            </w:r>
          </w:p>
        </w:tc>
      </w:tr>
      <w:tr>
        <w:trPr>
          <w:trHeight w:val="27"/>
        </w:trPr>
        <w:tc>
          <w:tcPr>
            <w:tcW w:w="4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4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3" w:lineRule="exact"/>
        <w:rPr>
          <w:sz w:val="20"/>
          <w:szCs w:val="20"/>
          <w:color w:val="auto"/>
        </w:rPr>
      </w:pPr>
    </w:p>
    <w:p>
      <w:pPr>
        <w:ind w:left="200" w:hanging="192"/>
        <w:spacing w:after="0"/>
        <w:tabs>
          <w:tab w:leader="none" w:pos="20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Amount is net of unamortized discount and debt issuance costs.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71"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On March 14, 2016, the Company issued Euro 500.0 million face amount of 1.75% Senior Notes ("Euro Senior Notes - 2016") due 2024 at a discount of Euro 0.9 million. The Company received proceeds related to the issuance of these Euro Senior Notes - 2016 of Euro 496.0 million which was net of the Euro 0.9 million discount and Euro 3.1 million underwriting discount (recorded as deferred financing costs). In addition, the Company incurred $1.3 million of other deferred financing costs in connection with the debt issuance. In connection with the debt issuance, the Company entered into pre-issuance hedging transactions that were settled upon issuance of the debt and resulted in a loss of approximately $3.2 million. The discount, deferred financing costs and pre-issuance hedge loss are being amortized as interest expense over the eight year term of the debt. The Euro Senior Notes - 2016 bear interest at a rate of 1.75% per annum, with interest payable on March 14 of each year, commencing on March 14, 2017. The Euro Senior Notes - 2016 will mature on March 14, 2024.</w:t>
      </w:r>
    </w:p>
    <w:p>
      <w:pPr>
        <w:sectPr>
          <w:pgSz w:w="11900" w:h="16838" w:orient="portrait"/>
          <w:cols w:equalWidth="0" w:num="1">
            <w:col w:w="11400"/>
          </w:cols>
          <w:pgMar w:left="240" w:top="746" w:right="25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746" w:right="259" w:bottom="1440" w:gutter="0" w:footer="0" w:header="0"/>
          <w:type w:val="continuous"/>
        </w:sectPr>
      </w:pPr>
    </w:p>
    <w:bookmarkStart w:id="8" w:name="page9"/>
    <w:bookmarkEnd w:id="8"/>
    <w:p>
      <w:pPr>
        <w:ind w:right="20" w:firstLine="405"/>
        <w:spacing w:after="0" w:line="253" w:lineRule="auto"/>
        <w:rPr>
          <w:sz w:val="20"/>
          <w:szCs w:val="20"/>
          <w:color w:val="auto"/>
        </w:rPr>
      </w:pPr>
      <w:r>
        <w:rPr>
          <w:rFonts w:ascii="Arial" w:cs="Arial" w:eastAsia="Arial" w:hAnsi="Arial"/>
          <w:sz w:val="18"/>
          <w:szCs w:val="18"/>
          <w:color w:val="auto"/>
        </w:rPr>
        <w:t>Upon 30 days’ notice to holders of the Euro Senior Notes - 2016 , the Company may redeem the Euro Senior Notes - 2016 for cash in whole, at any time, or in part, from time to time, prior to maturity, at redemption prices that include accrued and unpaid interest and a make-whole premium, as specified in the indenture governing the Euro Senior Notes - 2016. However, no make-whole premium will be paid for redemptions of the Euro Senior Notes - 2016 on or after December 14, 2023. The indenture provides for customary events of default and contains certain negative covenants that limit the ability of the Company and its subsidiaries to grant liens on assets, or to enter into sale-leaseback transactions. In addition, subject to certain limitations, in the event of the occurrence of both (1) a change of control of the Company and (2) a downgrade of the Euro Senior Notes - 2016 below investment grade rating by both Moody’s Investors Services, Inc. and Standard &amp; Poor’s Ratings Services within a specified time period, the Company will be required to make an offer to repurchase the Notes at a price equal to 101% of the principal amount of the Euro Senior Notes - 2016, plus accrued and unpaid interest to the date of repurchase.</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discussed in Note 11, the Euro Senior Notes - 2016 have been designated as a hedge of the Company's net investment in certain subsidiaries.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third quarter of 2016, the Company made a final payment of $125.0 million on the Senior Notes - 2006.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fourth quarter of 2016, the Company issued $50 million face value of commercial paper.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90"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At September 30, 2016, the Company had $19.6 million of unrecognized tax benefits recorded in Other liabilities and $4.9 million in Other current liabilities. If these unrecognized tax benefits were recognized, the effective tax rate would be affected.</w:t>
      </w:r>
    </w:p>
    <w:p>
      <w:pPr>
        <w:spacing w:after="0" w:line="116"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At September 30, 2016, the Company had accrued interest and penalties of $0.7 million classified in Other liabilities and $0.2 million in Other current liabilities.</w:t>
      </w:r>
    </w:p>
    <w:p>
      <w:pPr>
        <w:spacing w:after="0" w:line="116"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As of September 30, 2016, the Company’s aggregate provisions for uncertain tax positions, including interest and penalties, was $25.4 million associated with various tax positions asserted in foreign jurisdictions, none of which is individually material.</w:t>
      </w:r>
    </w:p>
    <w:p>
      <w:pPr>
        <w:spacing w:after="0" w:line="116"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Company regularly repatriates a portion of current year earnings from select non–U.S. subsidiaries. No provision is made for additional taxes on undistributed earnings of subsidiary companies that are intended and planned to be indefinitely invested in such subsidiaries. We intend to, and have plans to, reinvest these earnings indefinitely in our foreign subsidiaries to fund local operations and/or capital projects.</w:t>
      </w:r>
    </w:p>
    <w:p>
      <w:pPr>
        <w:spacing w:after="0" w:line="111"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The Company has ongoing income tax audits and legal proceedings which are at various stages of administrative or judicial review. In addition, the Company has open tax years with various taxing jurisdictions that range primarily from 2006 to 2015. Based on currently available information, we do not believe the ultimate outcome of any of these tax audits and other tax positions related to open tax years, when finalized, will have a material impact on our financial position.</w:t>
      </w:r>
    </w:p>
    <w:p>
      <w:pPr>
        <w:spacing w:after="0" w:line="133"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Company also has other ongoing tax audits and legal proceedings that relate to indirect taxes, such as value-added taxes, sales and use taxes and property taxes, which are discussed in Note 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effective tax rate for the three months ended September 30, 2016 was 20.8% compared with 25.5% for the three months ended September 30, 2015. The quarter-over-quarter decrease was largely due to a favorable mix of earnings and lower costs of repatriation, partially offset by higher loss provisions. The effective tax rate for the nine months ended September 30, 2016 was 22.7% compared with 22.1% for the nine months ended September 30, 2015. The year-over-year increase was primarily due to a benefit of $10.5 million recorded in the first quarter of 2015, as a result of favorable tax rulings in Spain and another jurisdiction for which reserves were previously recorded and higher loss provisions in 2016, partially offset by lower cost of repatriation in the 2016 period.</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665"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8. Stock Compensation Plans:</w:t>
      </w:r>
    </w:p>
    <w:p>
      <w:pPr>
        <w:spacing w:after="0" w:line="94"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Company has various plans under which its officers, senior management, other key employees and directors may be granted equity-based awards. Equity awards outstanding under the plans include PRSUs, restricted stock units ("RSUs"), stock options, SSARs and Long-Term Incentive Plan awards; liability-based awards outstanding under the plans are cash-settled RSUs.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Stock-based compensation expense and related tax benefits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Equity-based awards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19,471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18,355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Liability-based awards</w:t>
            </w:r>
          </w:p>
        </w:tc>
        <w:tc>
          <w:tcPr>
            <w:tcW w:w="2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1,836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4,168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3,355</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23,639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21,710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 tax benefit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(6,326)</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 after tax</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5,359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16,676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15,384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Information:</w:t>
      </w:r>
    </w:p>
    <w:p>
      <w:pPr>
        <w:spacing w:after="0" w:line="9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 is organized into two operating segments: Flavors and Fragrances. These segments align with the internal structure of the Company used to manage these businesses. Performance of these operating segments is evaluated based on segment profit which is defined as operating profit before Restructuring and other charges, net, Global expenses (as discussed below) and certain non-recurring items, Interest expense, Other income (expense), net and Taxes on income.</w:t>
      </w:r>
    </w:p>
    <w:p>
      <w:pPr>
        <w:spacing w:after="0" w:line="133" w:lineRule="exact"/>
        <w:rPr>
          <w:sz w:val="20"/>
          <w:szCs w:val="20"/>
          <w:color w:val="auto"/>
        </w:rPr>
      </w:pPr>
    </w:p>
    <w:p>
      <w:pPr>
        <w:ind w:right="540" w:firstLine="405"/>
        <w:spacing w:after="0" w:line="342" w:lineRule="auto"/>
        <w:rPr>
          <w:sz w:val="20"/>
          <w:szCs w:val="20"/>
          <w:color w:val="auto"/>
        </w:rPr>
      </w:pPr>
      <w:r>
        <w:rPr>
          <w:rFonts w:ascii="Arial" w:cs="Arial" w:eastAsia="Arial" w:hAnsi="Arial"/>
          <w:sz w:val="16"/>
          <w:szCs w:val="16"/>
          <w:color w:val="auto"/>
        </w:rPr>
        <w:t>The Global expenses caption below represent corporate and headquarters-related expenses which include legal, finance, human resources, certain incentive compensation expenses and other R&amp;D and administrative expenses that are not allocated to individual operating segments.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Reportable segment information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4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Flavors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366,857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359,103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1,118,869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1,108,689</w:t>
            </w:r>
          </w:p>
        </w:tc>
      </w:tr>
      <w:tr>
        <w:trPr>
          <w:trHeight w:val="27"/>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410,144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405,989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1,234,921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1,198,851</w:t>
            </w: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777,001</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765,092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2,353,790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2,307,540</w:t>
            </w:r>
          </w:p>
        </w:tc>
      </w:tr>
      <w:tr>
        <w:trPr>
          <w:trHeight w:val="67"/>
        </w:trPr>
        <w:tc>
          <w:tcPr>
            <w:tcW w:w="44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44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Segment profit:</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Flavors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77,512</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79,803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259,662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256,546</w:t>
            </w:r>
          </w:p>
        </w:tc>
      </w:tr>
      <w:tr>
        <w:trPr>
          <w:trHeight w:val="27"/>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85,010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261,843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252,416</w:t>
            </w: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Global expenses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(37,544)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(27,067)</w:t>
            </w:r>
          </w:p>
        </w:tc>
      </w:tr>
      <w:tr>
        <w:trPr>
          <w:trHeight w:val="27"/>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Restructuring and other charges, net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r>
      <w:tr>
        <w:trPr>
          <w:trHeight w:val="270"/>
        </w:trPr>
        <w:tc>
          <w:tcPr>
            <w:tcW w:w="44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Acquisition and related costs </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(6,830)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(13,896)</w:t>
            </w:r>
          </w:p>
        </w:tc>
      </w:tr>
      <w:tr>
        <w:trPr>
          <w:trHeight w:val="270"/>
        </w:trPr>
        <w:tc>
          <w:tcPr>
            <w:tcW w:w="4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Operational improvement initiative costs </w:t>
            </w:r>
            <w:r>
              <w:rPr>
                <w:rFonts w:ascii="Arial" w:cs="Arial" w:eastAsia="Arial" w:hAnsi="Arial"/>
                <w:sz w:val="25"/>
                <w:szCs w:val="25"/>
                <w:color w:val="auto"/>
                <w:vertAlign w:val="superscript"/>
              </w:rPr>
              <w:t>(3)</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r>
      <w:tr>
        <w:trPr>
          <w:trHeight w:val="270"/>
        </w:trPr>
        <w:tc>
          <w:tcPr>
            <w:tcW w:w="44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Spanish capital tax settlement </w:t>
            </w:r>
            <w:r>
              <w:rPr>
                <w:rFonts w:ascii="Arial" w:cs="Arial" w:eastAsia="Arial" w:hAnsi="Arial"/>
                <w:sz w:val="25"/>
                <w:szCs w:val="25"/>
                <w:color w:val="auto"/>
                <w:vertAlign w:val="superscript"/>
              </w:rPr>
              <w:t>(4)</w:t>
            </w:r>
          </w:p>
        </w:tc>
        <w:tc>
          <w:tcPr>
            <w:tcW w:w="30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Legal charge </w:t>
            </w:r>
            <w:r>
              <w:rPr>
                <w:rFonts w:ascii="Arial" w:cs="Arial" w:eastAsia="Arial" w:hAnsi="Arial"/>
                <w:sz w:val="25"/>
                <w:szCs w:val="25"/>
                <w:color w:val="auto"/>
                <w:vertAlign w:val="superscript"/>
              </w:rPr>
              <w:t>(5)</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124,339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156,713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456,034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467,328</w:t>
            </w:r>
          </w:p>
        </w:tc>
      </w:tr>
      <w:tr>
        <w:trPr>
          <w:trHeight w:val="27"/>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(34,357)</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2,162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4,952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3,315</w:t>
            </w:r>
          </w:p>
        </w:tc>
      </w:tr>
      <w:tr>
        <w:trPr>
          <w:trHeight w:val="27"/>
        </w:trPr>
        <w:tc>
          <w:tcPr>
            <w:tcW w:w="4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113,390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142,899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420,337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436,286</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Restructuring and other charges, net in 2016 relate to accelerated depreciation costs in Europe recorded in Cost of goods sold.</w:t>
      </w:r>
    </w:p>
    <w:p>
      <w:pPr>
        <w:spacing w:after="0" w:line="23" w:lineRule="exact"/>
        <w:rPr>
          <w:rFonts w:ascii="Arial" w:cs="Arial" w:eastAsia="Arial" w:hAnsi="Arial"/>
          <w:sz w:val="18"/>
          <w:szCs w:val="18"/>
          <w:color w:val="auto"/>
        </w:rPr>
      </w:pPr>
    </w:p>
    <w:p>
      <w:pPr>
        <w:ind w:left="340" w:right="280" w:hanging="332"/>
        <w:spacing w:after="0" w:line="32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Acquisition and related costs are associated with the 2015 acquisitions of Ottens Flavors and Lucas Meyer as discussed in Note 3, including inventory step-up charges related to the inventory acquired for Lucas Meyer as well as transaction costs related to the acquisition of David Michael in 2016.</w:t>
      </w: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0" w:name="page11"/>
    <w:bookmarkEnd w:id="10"/>
    <w:p>
      <w:pPr>
        <w:ind w:left="340" w:right="240" w:hanging="332"/>
        <w:spacing w:after="0" w:line="25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Operational improvement initiative costs relate to accelerated depreciation, dismantling and severance costs in Asia in the 2016 period and accelerated depreciation in the 2015 period.</w:t>
      </w:r>
    </w:p>
    <w:p>
      <w:pPr>
        <w:spacing w:after="0" w:line="1" w:lineRule="exact"/>
        <w:rPr>
          <w:rFonts w:ascii="Arial" w:cs="Arial" w:eastAsia="Arial" w:hAnsi="Arial"/>
          <w:sz w:val="18"/>
          <w:szCs w:val="18"/>
          <w:color w:val="auto"/>
        </w:rPr>
      </w:pPr>
    </w:p>
    <w:p>
      <w:pPr>
        <w:ind w:left="340" w:right="12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Spanish capital tax settlement represents interest received from the Spanish government related to the reversal of the unfavorable ruling the Spanish capital tax case from 2002, which was reversed during the year ended December 31, 2015.</w:t>
      </w: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legal charge relates to the reserve recorded for the ZoomEssence case as discussed in Note 13.</w:t>
      </w:r>
    </w:p>
    <w:p>
      <w:pPr>
        <w:spacing w:after="0" w:line="157" w:lineRule="exact"/>
        <w:rPr>
          <w:sz w:val="20"/>
          <w:szCs w:val="20"/>
          <w:color w:val="auto"/>
        </w:rPr>
      </w:pPr>
    </w:p>
    <w:p>
      <w:pPr>
        <w:ind w:right="380" w:firstLine="405"/>
        <w:spacing w:after="0" w:line="297" w:lineRule="auto"/>
        <w:rPr>
          <w:sz w:val="20"/>
          <w:szCs w:val="20"/>
          <w:color w:val="auto"/>
        </w:rPr>
      </w:pPr>
      <w:r>
        <w:rPr>
          <w:rFonts w:ascii="Arial" w:cs="Arial" w:eastAsia="Arial" w:hAnsi="Arial"/>
          <w:sz w:val="16"/>
          <w:szCs w:val="16"/>
          <w:color w:val="auto"/>
        </w:rPr>
        <w:t>Net sales are attributed to individual regions based upon the destination of product delivery. Net sales related to the U.S. for the three months ended September 30, 2016 and 2015 were $190 million and $182 million, respectively and for the nine months ended September 30, 2016 and 2015 were $555 million and $520 million, respectively. Net sales attributed to all foreign countries in total for the three months ended September 30, 2016 and 2015 were $587 million and $583 million, respectively and for the nine months ended September 30, 2016 and 2015 were $1,799 million and $1,788 million, respectively. No country other than the U.S. had net sales in any period presented greater than 10% of total consolidated net sales.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Pension and other defined contribution retirement plan expenses included the following components: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U.S. Plans</w:t>
            </w: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6,007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5,954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18,020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17,860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(24,248)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amortization and deferrals</w:t>
            </w:r>
          </w:p>
        </w:tc>
        <w:tc>
          <w:tcPr>
            <w:tcW w:w="3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5,203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4,159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15,607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12,171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Defined contribution and other retirement plans</w:t>
            </w:r>
          </w:p>
        </w:tc>
        <w:tc>
          <w:tcPr>
            <w:tcW w:w="3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5,823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6,075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6,108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18,246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Non-U.S. Plans</w:t>
            </w:r>
          </w:p>
        </w:tc>
        <w:tc>
          <w:tcPr>
            <w:tcW w:w="340" w:type="dxa"/>
            <w:vAlign w:val="bottom"/>
          </w:tcPr>
          <w:p>
            <w:pPr>
              <w:spacing w:after="0"/>
              <w:rPr>
                <w:sz w:val="24"/>
                <w:szCs w:val="24"/>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24"/>
                <w:szCs w:val="24"/>
                <w:color w:val="auto"/>
              </w:rPr>
            </w:pPr>
          </w:p>
        </w:tc>
        <w:tc>
          <w:tcPr>
            <w:tcW w:w="29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12,659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6,372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6,283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18,890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18,848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amortization and deferrals</w:t>
            </w:r>
          </w:p>
        </w:tc>
        <w:tc>
          <w:tcPr>
            <w:tcW w:w="3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3,397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9,738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10,189</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Net periodic benefit cost</w:t>
            </w: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4,545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3,559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contribution and other retirement plans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expense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3,241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3,111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9,720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Company expects to contribute a total of approximately $30 million to its non-U.S. pension plans and $20 million to its U.S. pension plans during 2016. During the nine months ended September 30, 2016, $20.0 million of contributions were made to the qualified U.S. pension plans, $21.1 million of contributions were made to the non-U.S. pension plans and $3.7 million of benefit payments were made with respect to the Company's non-qualified U.S. pension plan.</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Expense recognized for postretirement benefits other than pensions included the following components: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1,082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3,246</w:t>
            </w: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 and deferrals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(1,355)</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postretirement benefit (income) expense</w:t>
            </w:r>
          </w:p>
        </w:tc>
        <w:tc>
          <w:tcPr>
            <w:tcW w:w="100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2,013</w:t>
            </w:r>
          </w:p>
        </w:tc>
      </w:tr>
      <w:tr>
        <w:trPr>
          <w:trHeight w:val="27"/>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Company expects to contribute approximately $5 million to its postretirement benefits other than pension plans during 2016. In the nine months ended September 30, 2016, $3.7 million of contributions were made.</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584"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11. Financial Instruments: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w:t>
      </w:r>
    </w:p>
    <w:p>
      <w:pPr>
        <w:spacing w:after="0" w:line="94"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Accounting guidance on fair value measurements specifies a hierarchy of valuation techniques based on whether the inputs to those valuation techniques are observable or unobservable. Observable inputs reflect market data obtained from independent sources, while unobservable inputs reflect our market assumptions. These two types of inputs create the following fair value hierarchy:</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Level 1–Quoted prices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instruments in active markets.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Level 2–Quoted prices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instruments in active markets; quoted prices for identical or similar instruments in markets that are not active; and model-derived valuations in which all significant inputs and significant value drivers are observable in active markets.</w:t>
      </w: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r>
        <w:rPr>
          <w:rFonts w:ascii="Arial" w:cs="Arial" w:eastAsia="Arial" w:hAnsi="Arial"/>
          <w:sz w:val="17"/>
          <w:szCs w:val="17"/>
          <w:i w:val="1"/>
          <w:iCs w:val="1"/>
          <w:color w:val="auto"/>
        </w:rPr>
        <w:t>.</w:t>
      </w:r>
    </w:p>
    <w:p>
      <w:pPr>
        <w:spacing w:after="0" w:line="168"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This hierarchy requires us to use observable market data, when available, and to minimize the use of unobservable inputs when determining fair value. We determine the fair value of structured liabilities (where performance is linked to structured interest rates, inflation or currency risks) using the LIBOR swap curve and forward interest and exchange rates at period end. Such instruments are classified as Level 2 based on the observability of significant inputs to the model. We do not have any instruments classified as Level 1 or Level 3, other than those included in pension asset trusts as discussed in Note 13 of our 2015 Form 10-K.</w:t>
      </w:r>
    </w:p>
    <w:p>
      <w:pPr>
        <w:spacing w:after="0" w:line="13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These valuations take into consideration our credit risk and our counterparties’ credit risk. The estimated change in the fair value of these instruments due to such changes in our own credit risk (or instrument-specific credit risk) was immaterial as of September 30, 2016.</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amounts recorded in the balance sheet (carrying amount) and the estimated fair values of financial instruments at September 30, 2016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consisted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2016</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2015</w:t>
            </w:r>
          </w:p>
        </w:tc>
        <w:tc>
          <w:tcPr>
            <w:tcW w:w="1020" w:type="dxa"/>
            <w:vAlign w:val="bottom"/>
            <w:tcBorders>
              <w:bottom w:val="single" w:sz="8" w:color="auto"/>
            </w:tcBorders>
          </w:tcPr>
          <w:p>
            <w:pPr>
              <w:spacing w:after="0"/>
              <w:rPr>
                <w:sz w:val="16"/>
                <w:szCs w:val="16"/>
                <w:color w:val="auto"/>
              </w:rPr>
            </w:pPr>
          </w:p>
        </w:tc>
      </w:tr>
      <w:tr>
        <w:trPr>
          <w:trHeight w:val="228"/>
        </w:trPr>
        <w:tc>
          <w:tcPr>
            <w:tcW w:w="4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Carrying</w:t>
            </w:r>
          </w:p>
        </w:tc>
        <w:tc>
          <w:tcPr>
            <w:tcW w:w="580" w:type="dxa"/>
            <w:vAlign w:val="bottom"/>
          </w:tcPr>
          <w:p>
            <w:pPr>
              <w:spacing w:after="0"/>
              <w:rPr>
                <w:sz w:val="19"/>
                <w:szCs w:val="19"/>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8"/>
                <w:szCs w:val="18"/>
                <w:color w:val="auto"/>
                <w:w w:val="90"/>
              </w:rPr>
              <w:t>Fair</w:t>
            </w:r>
          </w:p>
        </w:tc>
        <w:tc>
          <w:tcPr>
            <w:tcW w:w="300" w:type="dxa"/>
            <w:vAlign w:val="bottom"/>
          </w:tcPr>
          <w:p>
            <w:pPr>
              <w:spacing w:after="0"/>
              <w:rPr>
                <w:sz w:val="19"/>
                <w:szCs w:val="19"/>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Carrying</w:t>
            </w:r>
          </w:p>
        </w:tc>
        <w:tc>
          <w:tcPr>
            <w:tcW w:w="580" w:type="dxa"/>
            <w:vAlign w:val="bottom"/>
          </w:tcPr>
          <w:p>
            <w:pPr>
              <w:spacing w:after="0"/>
              <w:rPr>
                <w:sz w:val="19"/>
                <w:szCs w:val="19"/>
                <w:color w:val="auto"/>
              </w:rPr>
            </w:pPr>
          </w:p>
        </w:tc>
        <w:tc>
          <w:tcPr>
            <w:tcW w:w="1020" w:type="dxa"/>
            <w:vAlign w:val="bottom"/>
          </w:tcPr>
          <w:p>
            <w:pPr>
              <w:jc w:val="right"/>
              <w:ind w:right="570"/>
              <w:spacing w:after="0"/>
              <w:rPr>
                <w:sz w:val="20"/>
                <w:szCs w:val="20"/>
                <w:color w:val="auto"/>
              </w:rPr>
            </w:pPr>
            <w:r>
              <w:rPr>
                <w:rFonts w:ascii="Arial" w:cs="Arial" w:eastAsia="Arial" w:hAnsi="Arial"/>
                <w:sz w:val="18"/>
                <w:szCs w:val="18"/>
                <w:color w:val="auto"/>
              </w:rPr>
              <w:t>Fair</w:t>
            </w: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00" w:type="dxa"/>
            <w:vAlign w:val="bottom"/>
          </w:tcPr>
          <w:p>
            <w:pPr>
              <w:spacing w:after="0"/>
              <w:rPr>
                <w:sz w:val="21"/>
                <w:szCs w:val="21"/>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Amount</w:t>
            </w:r>
          </w:p>
        </w:tc>
        <w:tc>
          <w:tcPr>
            <w:tcW w:w="580" w:type="dxa"/>
            <w:vAlign w:val="bottom"/>
          </w:tcPr>
          <w:p>
            <w:pPr>
              <w:spacing w:after="0"/>
              <w:rPr>
                <w:sz w:val="21"/>
                <w:szCs w:val="21"/>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8"/>
                <w:szCs w:val="18"/>
                <w:color w:val="auto"/>
                <w:w w:val="86"/>
              </w:rPr>
              <w:t>Value</w:t>
            </w:r>
          </w:p>
        </w:tc>
        <w:tc>
          <w:tcPr>
            <w:tcW w:w="300" w:type="dxa"/>
            <w:vAlign w:val="bottom"/>
          </w:tcPr>
          <w:p>
            <w:pPr>
              <w:spacing w:after="0"/>
              <w:rPr>
                <w:sz w:val="21"/>
                <w:szCs w:val="21"/>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Amount</w:t>
            </w:r>
          </w:p>
        </w:tc>
        <w:tc>
          <w:tcPr>
            <w:tcW w:w="580" w:type="dxa"/>
            <w:vAlign w:val="bottom"/>
          </w:tcPr>
          <w:p>
            <w:pPr>
              <w:spacing w:after="0"/>
              <w:rPr>
                <w:sz w:val="21"/>
                <w:szCs w:val="21"/>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color w:val="auto"/>
                <w:w w:val="86"/>
              </w:rPr>
              <w:t>Value</w:t>
            </w:r>
          </w:p>
        </w:tc>
      </w:tr>
      <w:tr>
        <w:trPr>
          <w:trHeight w:val="270"/>
        </w:trPr>
        <w:tc>
          <w:tcPr>
            <w:tcW w:w="47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5"/>
                <w:szCs w:val="25"/>
                <w:color w:val="auto"/>
                <w:vertAlign w:val="superscript"/>
              </w:rPr>
              <w:t>(1)</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498,730</w:t>
            </w:r>
          </w:p>
        </w:tc>
        <w:tc>
          <w:tcPr>
            <w:tcW w:w="10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498,730</w:t>
            </w: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181,988</w:t>
            </w:r>
          </w:p>
        </w:tc>
        <w:tc>
          <w:tcPr>
            <w:tcW w:w="10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181,988</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Credit facilities and bank overdrafts </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13,112</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13,112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142,178</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142,178</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(3)</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Senior notes - 2006</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124,964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127,717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notes - 2007</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499,638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577,132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499,618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563,855</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Senior notes - 2013</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297,916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316,742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297,683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290,830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Euro Senior notes - 2016</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555,381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604,035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carrying amount of cash and cash equivalents approximates fair value due to the short maturity of those instruments.</w:t>
      </w:r>
    </w:p>
    <w:p>
      <w:pPr>
        <w:spacing w:after="0" w:line="23" w:lineRule="exact"/>
        <w:rPr>
          <w:rFonts w:ascii="Arial" w:cs="Arial" w:eastAsia="Arial" w:hAnsi="Arial"/>
          <w:sz w:val="18"/>
          <w:szCs w:val="18"/>
          <w:color w:val="auto"/>
        </w:rPr>
      </w:pPr>
    </w:p>
    <w:p>
      <w:pPr>
        <w:ind w:left="540" w:right="80" w:hanging="316"/>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carrying amount of our credit facilities and bank overdrafts approximates fair value as the interest rate is reset frequently based on current market rates as well as the short maturity of those instruments.</w:t>
      </w:r>
    </w:p>
    <w:p>
      <w:pPr>
        <w:ind w:left="540" w:right="60" w:hanging="316"/>
        <w:spacing w:after="0" w:line="261"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fair value of our long-term debt was calculated using discounted cash flows applying current interest rates and current credit spreads based on our own credit risk.</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Derivatives</w:t>
      </w:r>
    </w:p>
    <w:p>
      <w:pPr>
        <w:spacing w:after="0" w:line="9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Company periodically enters into foreign currency forward contracts with the objective of reducing exposure to cash flow volatility associated with our intercompany loans, foreign currency receivables and payables, and anticipated purchases of certain raw materials used in operations. These contracts generally involve the exchange of one currency for a second currency at a future date, have maturities not exceeding twelve months and are with counterparties which are major international financial institutions.</w:t>
      </w:r>
    </w:p>
    <w:p>
      <w:pPr>
        <w:spacing w:after="0" w:line="187"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During the nine months ended September 30, 2016 and the year ended December 31, 2015, the Company entered into several forward currency contracts which qualified as net investment hedges, in order to mitigate a portion of our net European investments from foreign currency risk. The effective portions of net investment hedges are recorded in Other comprehensive income (“OCI”) as a component of Foreign currency translation adjustments in the accompanying Consolidated Statement of</w:t>
      </w: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2" w:name="page13"/>
    <w:bookmarkEnd w:id="12"/>
    <w:p>
      <w:pPr>
        <w:jc w:val="both"/>
        <w:ind w:right="400"/>
        <w:spacing w:after="0" w:line="286" w:lineRule="auto"/>
        <w:rPr>
          <w:sz w:val="20"/>
          <w:szCs w:val="20"/>
          <w:color w:val="auto"/>
        </w:rPr>
      </w:pPr>
      <w:r>
        <w:rPr>
          <w:rFonts w:ascii="Arial" w:cs="Arial" w:eastAsia="Arial" w:hAnsi="Arial"/>
          <w:sz w:val="17"/>
          <w:szCs w:val="17"/>
          <w:color w:val="auto"/>
        </w:rPr>
        <w:t>Comprehensive Income. Realized gains (losses) are deferred in accumulated other comprehensive income ("AOCI") where they will remain until the net investments in our European subsidiaries are divested. The outstanding forward currency contracts have remaining maturities of approximately one year. Twelve of these forward currency contracts matured during the nine months ended September 30, 2016.</w:t>
      </w:r>
    </w:p>
    <w:p>
      <w:pPr>
        <w:spacing w:after="0" w:line="166"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Subsequent to the issuance of the Euro Senior Notes - 2016 during the first quarter of 2016, the Company designated the debt as a hedge of a portion of its net European investments. Accordingly, the change in the value of the debt that is attributable to foreign exchange movements is recorded in OCI as a component of Foreign currency translation adjustments in the accompanying Consolidated Statement of Comprehensive Income.</w:t>
      </w:r>
    </w:p>
    <w:p>
      <w:pPr>
        <w:spacing w:after="0" w:line="16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During the nine months ended September 30, 2016 and the year ended December 31, 2015, the Company entered into several forward currency contracts which qualified as cash flow hedges. The objective of these hedges is to protect against the currency risk associated with forecasted U.S. dollar (USD) denominated raw material purchases made by Euro (EUR) functional currency entities which result from changes in the EUR/USD exchange rate. The effective portions of cash flow hedges are recorded in OCI as a component of gains/(losses) on derivatives qualifying as hedges in the accompanying Consolidated Statement of Comprehensive Income. Realized gains/(losses) in AOCI related to cash flow hedges of raw material purchases are recognized as a component of Cost of goods sold in the accompanying Consolidated Statement of Comprehensive Income in the same period as the related costs are recognized.</w:t>
      </w:r>
    </w:p>
    <w:p>
      <w:pPr>
        <w:spacing w:after="0" w:line="135"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During 2015 and 2014, the Company entered into interest rate swap agreements that effectively converted the fixed rate on a portion of our long-term borrowings to a variable short-term rate based on the LIBOR plus an interest markup. These swaps are designated as fair value hedges. Amounts recognized in Interest expense were immaterial for the three and nine months ended September 30, 2016.</w:t>
      </w:r>
    </w:p>
    <w:p>
      <w:pPr>
        <w:spacing w:after="0" w:line="127"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During the first quarter of 2016, the Company entered into and terminated two Euro interest rate swap agreements to hedge the anticipated issuance of fixed-rate debt. These swaps were designated as cash flow hedges. The effective portions of cash flow hedges are recorded in OCI as a component of Losses on derivatives qualifying as hedges in the accompanying Consolidated Statement of Comprehensive Income. The Company incurred a loss of Euro 2.9 million ($3.2 million) due to the termination of these swaps. The loss is being amortized as interest expense over the life of the Euro Senior Notes - 2016 as discussed in Note 6.</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the notional amount of the Company’s derivative instruments outstanding as of September 30, 2016 and December 31, 2015:</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220" w:type="dxa"/>
            <w:vAlign w:val="bottom"/>
          </w:tcPr>
          <w:p>
            <w:pPr>
              <w:spacing w:after="0"/>
              <w:rPr>
                <w:sz w:val="16"/>
                <w:szCs w:val="16"/>
                <w:color w:val="auto"/>
              </w:rPr>
            </w:pPr>
          </w:p>
        </w:tc>
        <w:tc>
          <w:tcPr>
            <w:tcW w:w="17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2016</w:t>
            </w:r>
          </w:p>
        </w:tc>
        <w:tc>
          <w:tcPr>
            <w:tcW w:w="260" w:type="dxa"/>
            <w:vAlign w:val="bottom"/>
          </w:tcPr>
          <w:p>
            <w:pPr>
              <w:spacing w:after="0"/>
              <w:rPr>
                <w:sz w:val="16"/>
                <w:szCs w:val="16"/>
                <w:color w:val="auto"/>
              </w:rPr>
            </w:pPr>
          </w:p>
        </w:tc>
        <w:tc>
          <w:tcPr>
            <w:tcW w:w="1660" w:type="dxa"/>
            <w:vAlign w:val="bottom"/>
          </w:tcPr>
          <w:p>
            <w:pPr>
              <w:jc w:val="right"/>
              <w:ind w:right="296"/>
              <w:spacing w:after="0"/>
              <w:rPr>
                <w:sz w:val="20"/>
                <w:szCs w:val="20"/>
                <w:color w:val="auto"/>
              </w:rPr>
            </w:pPr>
            <w:r>
              <w:rPr>
                <w:rFonts w:ascii="Arial" w:cs="Arial" w:eastAsia="Arial" w:hAnsi="Arial"/>
                <w:sz w:val="14"/>
                <w:szCs w:val="14"/>
                <w:b w:val="1"/>
                <w:bCs w:val="1"/>
                <w:color w:val="auto"/>
                <w:w w:val="99"/>
              </w:rPr>
              <w:t>December 31, 2015</w:t>
            </w:r>
          </w:p>
        </w:tc>
      </w:tr>
      <w:tr>
        <w:trPr>
          <w:trHeight w:val="250"/>
        </w:trPr>
        <w:tc>
          <w:tcPr>
            <w:tcW w:w="7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881,600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573,200</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6"/>
              <w:spacing w:after="0"/>
              <w:rPr>
                <w:sz w:val="20"/>
                <w:szCs w:val="20"/>
                <w:color w:val="auto"/>
              </w:rPr>
            </w:pPr>
            <w:r>
              <w:rPr>
                <w:rFonts w:ascii="Arial" w:cs="Arial" w:eastAsia="Arial" w:hAnsi="Arial"/>
                <w:sz w:val="18"/>
                <w:szCs w:val="18"/>
                <w:color w:val="auto"/>
              </w:rPr>
              <w:t>475,000</w:t>
            </w: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show the Company’s derivative instruments measured at fair value (Level 2 of the fair value hierarchy), as reflected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September 30, 2016 and December 31, 2015: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 2016</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60" w:type="dxa"/>
            <w:vAlign w:val="bottom"/>
          </w:tcPr>
          <w:p>
            <w:pPr>
              <w:spacing w:after="0"/>
              <w:rPr>
                <w:sz w:val="13"/>
                <w:szCs w:val="13"/>
                <w:color w:val="auto"/>
              </w:rPr>
            </w:pPr>
          </w:p>
        </w:tc>
        <w:tc>
          <w:tcPr>
            <w:tcW w:w="15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Derivatives Not</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300" w:type="dxa"/>
            <w:vAlign w:val="bottom"/>
          </w:tcPr>
          <w:p>
            <w:pPr>
              <w:spacing w:after="0"/>
              <w:rPr>
                <w:sz w:val="12"/>
                <w:szCs w:val="12"/>
                <w:color w:val="auto"/>
              </w:rPr>
            </w:pPr>
          </w:p>
        </w:tc>
        <w:tc>
          <w:tcPr>
            <w:tcW w:w="130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Total Fair</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Hedging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6"/>
                <w:szCs w:val="16"/>
                <w:color w:val="auto"/>
              </w:rPr>
            </w:pPr>
          </w:p>
        </w:tc>
        <w:tc>
          <w:tcPr>
            <w:tcW w:w="1300" w:type="dxa"/>
            <w:vAlign w:val="bottom"/>
          </w:tcPr>
          <w:p>
            <w:pPr>
              <w:jc w:val="right"/>
              <w:ind w:right="53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25"/>
                <w:szCs w:val="25"/>
                <w:color w:val="auto"/>
                <w:vertAlign w:val="superscript"/>
              </w:rPr>
              <w:t>(a)</w:t>
            </w:r>
          </w:p>
        </w:tc>
        <w:tc>
          <w:tcPr>
            <w:tcW w:w="24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20"/>
              <w:spacing w:after="0"/>
              <w:rPr>
                <w:sz w:val="20"/>
                <w:szCs w:val="20"/>
                <w:color w:val="auto"/>
              </w:rPr>
            </w:pPr>
            <w:r>
              <w:rPr>
                <w:rFonts w:ascii="Arial" w:cs="Arial" w:eastAsia="Arial" w:hAnsi="Arial"/>
                <w:sz w:val="18"/>
                <w:szCs w:val="18"/>
                <w:color w:val="auto"/>
              </w:rPr>
              <w:t>4,210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4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2,326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4,737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4,210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8,947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liabilities </w:t>
            </w:r>
            <w:r>
              <w:rPr>
                <w:rFonts w:ascii="Arial" w:cs="Arial" w:eastAsia="Arial" w:hAnsi="Arial"/>
                <w:sz w:val="25"/>
                <w:szCs w:val="25"/>
                <w:color w:val="auto"/>
                <w:vertAlign w:val="superscript"/>
              </w:rPr>
              <w:t>(b)</w:t>
            </w:r>
          </w:p>
        </w:tc>
        <w:tc>
          <w:tcPr>
            <w:tcW w:w="2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20"/>
              <w:spacing w:after="0"/>
              <w:rPr>
                <w:sz w:val="20"/>
                <w:szCs w:val="20"/>
                <w:color w:val="auto"/>
              </w:rPr>
            </w:pPr>
            <w:r>
              <w:rPr>
                <w:rFonts w:ascii="Arial" w:cs="Arial" w:eastAsia="Arial" w:hAnsi="Arial"/>
                <w:sz w:val="18"/>
                <w:szCs w:val="18"/>
                <w:color w:val="auto"/>
              </w:rPr>
              <w:t>5,851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5,851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621"/>
        </w:trPr>
        <w:tc>
          <w:tcPr>
            <w:tcW w:w="4000" w:type="dxa"/>
            <w:vAlign w:val="bottom"/>
          </w:tcPr>
          <w:p>
            <w:pPr>
              <w:spacing w:after="0"/>
              <w:rPr>
                <w:sz w:val="24"/>
                <w:szCs w:val="24"/>
                <w:color w:val="auto"/>
              </w:rPr>
            </w:pPr>
          </w:p>
        </w:tc>
        <w:tc>
          <w:tcPr>
            <w:tcW w:w="2400" w:type="dxa"/>
            <w:vAlign w:val="bottom"/>
          </w:tcPr>
          <w:p>
            <w:pPr>
              <w:jc w:val="right"/>
              <w:ind w:right="45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2015</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Derivatives Not</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300" w:type="dxa"/>
            <w:vAlign w:val="bottom"/>
          </w:tcPr>
          <w:p>
            <w:pPr>
              <w:spacing w:after="0"/>
              <w:rPr>
                <w:sz w:val="12"/>
                <w:szCs w:val="12"/>
                <w:color w:val="auto"/>
              </w:rPr>
            </w:pPr>
          </w:p>
        </w:tc>
        <w:tc>
          <w:tcPr>
            <w:tcW w:w="130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Total Fair</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4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6"/>
                <w:szCs w:val="16"/>
                <w:color w:val="auto"/>
              </w:rPr>
            </w:pPr>
          </w:p>
        </w:tc>
        <w:tc>
          <w:tcPr>
            <w:tcW w:w="1300" w:type="dxa"/>
            <w:vAlign w:val="bottom"/>
          </w:tcPr>
          <w:p>
            <w:pPr>
              <w:jc w:val="right"/>
              <w:ind w:right="53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70"/>
        </w:trPr>
        <w:tc>
          <w:tcPr>
            <w:tcW w:w="64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25"/>
                <w:szCs w:val="25"/>
                <w:color w:val="auto"/>
                <w:vertAlign w:val="superscript"/>
              </w:rPr>
              <w:t>(a)</w:t>
            </w:r>
          </w:p>
        </w:tc>
        <w:tc>
          <w:tcPr>
            <w:tcW w:w="26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40"/>
              <w:spacing w:after="0"/>
              <w:rPr>
                <w:sz w:val="20"/>
                <w:szCs w:val="20"/>
                <w:color w:val="auto"/>
              </w:rPr>
            </w:pPr>
            <w:r>
              <w:rPr>
                <w:rFonts w:ascii="Arial" w:cs="Arial" w:eastAsia="Arial" w:hAnsi="Arial"/>
                <w:sz w:val="18"/>
                <w:szCs w:val="18"/>
                <w:color w:val="auto"/>
              </w:rPr>
              <w:t>6,560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7,770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11,470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liabilities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40"/>
              <w:spacing w:after="0"/>
              <w:rPr>
                <w:sz w:val="20"/>
                <w:szCs w:val="20"/>
                <w:color w:val="auto"/>
              </w:rPr>
            </w:pPr>
            <w:r>
              <w:rPr>
                <w:rFonts w:ascii="Arial" w:cs="Arial" w:eastAsia="Arial" w:hAnsi="Arial"/>
                <w:sz w:val="18"/>
                <w:szCs w:val="18"/>
                <w:color w:val="auto"/>
              </w:rPr>
              <w:t>2,106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5,128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Derivative assets are recorded to Prepaid expenses and other current assets in the Consolidated Balance Sheet.</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Derivative liabilities are recorded as Other current liabilities in the Consolidated Balance Sheet.</w:t>
      </w:r>
    </w:p>
    <w:p>
      <w:pPr>
        <w:spacing w:after="0" w:line="21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following table shows the effect of the Company’s derivative instruments which were not designated as hedging instruments in the Consolidated Statement of Comprehensive Income for the three and nine months ended September 30, 2016 and 2015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gridSpan w:val="3"/>
          </w:tcPr>
          <w:p>
            <w:pPr>
              <w:jc w:val="center"/>
              <w:ind w:right="219"/>
              <w:spacing w:after="0"/>
              <w:rPr>
                <w:sz w:val="20"/>
                <w:szCs w:val="20"/>
                <w:color w:val="auto"/>
              </w:rPr>
            </w:pPr>
            <w:r>
              <w:rPr>
                <w:rFonts w:ascii="Arial" w:cs="Arial" w:eastAsia="Arial" w:hAnsi="Arial"/>
                <w:sz w:val="14"/>
                <w:szCs w:val="14"/>
                <w:b w:val="1"/>
                <w:bCs w:val="1"/>
                <w:color w:val="auto"/>
                <w:w w:val="94"/>
              </w:rPr>
              <w:t>Amount of Gain (Loss)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3"/>
              </w:rPr>
              <w:t>Location of Gain (Loss)</w:t>
            </w:r>
          </w:p>
        </w:tc>
        <w:tc>
          <w:tcPr>
            <w:tcW w:w="0" w:type="dxa"/>
            <w:vAlign w:val="bottom"/>
          </w:tcPr>
          <w:p>
            <w:pPr>
              <w:spacing w:after="0"/>
              <w:rPr>
                <w:sz w:val="1"/>
                <w:szCs w:val="1"/>
                <w:color w:val="auto"/>
              </w:rPr>
            </w:pPr>
          </w:p>
        </w:tc>
      </w:tr>
      <w:tr>
        <w:trPr>
          <w:trHeight w:val="149"/>
        </w:trPr>
        <w:tc>
          <w:tcPr>
            <w:tcW w:w="4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660" w:type="dxa"/>
            <w:vAlign w:val="bottom"/>
            <w:gridSpan w:val="4"/>
          </w:tcPr>
          <w:p>
            <w:pPr>
              <w:jc w:val="center"/>
              <w:ind w:left="564"/>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0" w:type="dxa"/>
            <w:vAlign w:val="bottom"/>
          </w:tcPr>
          <w:p>
            <w:pPr>
              <w:spacing w:after="0"/>
              <w:rPr>
                <w:sz w:val="1"/>
                <w:szCs w:val="1"/>
                <w:color w:val="auto"/>
              </w:rPr>
            </w:pPr>
          </w:p>
        </w:tc>
      </w:tr>
      <w:tr>
        <w:trPr>
          <w:trHeight w:val="192"/>
        </w:trPr>
        <w:tc>
          <w:tcPr>
            <w:tcW w:w="4060" w:type="dxa"/>
            <w:vAlign w:val="bottom"/>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239"/>
              <w:spacing w:after="0"/>
              <w:rPr>
                <w:sz w:val="20"/>
                <w:szCs w:val="20"/>
                <w:color w:val="auto"/>
              </w:rPr>
            </w:pPr>
            <w:r>
              <w:rPr>
                <w:rFonts w:ascii="Arial" w:cs="Arial" w:eastAsia="Arial" w:hAnsi="Arial"/>
                <w:sz w:val="14"/>
                <w:szCs w:val="14"/>
                <w:b w:val="1"/>
                <w:bCs w:val="1"/>
                <w:color w:val="auto"/>
                <w:w w:val="95"/>
              </w:rPr>
              <w:t>Derivative</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2"/>
                <w:szCs w:val="22"/>
                <w:color w:val="auto"/>
              </w:rPr>
            </w:pPr>
          </w:p>
        </w:tc>
        <w:tc>
          <w:tcPr>
            <w:tcW w:w="32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 September 30,</w:t>
            </w:r>
          </w:p>
        </w:tc>
        <w:tc>
          <w:tcPr>
            <w:tcW w:w="1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6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940" w:type="dxa"/>
            <w:vAlign w:val="bottom"/>
            <w:tcBorders>
              <w:bottom w:val="single" w:sz="8" w:color="CCEEFF"/>
            </w:tcBorders>
            <w:shd w:val="clear" w:color="auto" w:fill="CCEEFF"/>
          </w:tcPr>
          <w:p>
            <w:pPr>
              <w:jc w:val="right"/>
              <w:ind w:right="74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(1,979)</w:t>
            </w:r>
          </w:p>
        </w:tc>
        <w:tc>
          <w:tcPr>
            <w:tcW w:w="1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153"/>
        </w:trPr>
        <w:tc>
          <w:tcPr>
            <w:tcW w:w="4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20" w:type="dxa"/>
            <w:vAlign w:val="bottom"/>
            <w:gridSpan w:val="3"/>
          </w:tcPr>
          <w:p>
            <w:pPr>
              <w:jc w:val="center"/>
              <w:ind w:right="219"/>
              <w:spacing w:after="0" w:line="153" w:lineRule="exact"/>
              <w:rPr>
                <w:sz w:val="20"/>
                <w:szCs w:val="20"/>
                <w:color w:val="auto"/>
              </w:rPr>
            </w:pPr>
            <w:r>
              <w:rPr>
                <w:rFonts w:ascii="Arial" w:cs="Arial" w:eastAsia="Arial" w:hAnsi="Arial"/>
                <w:sz w:val="14"/>
                <w:szCs w:val="14"/>
                <w:b w:val="1"/>
                <w:bCs w:val="1"/>
                <w:color w:val="auto"/>
                <w:w w:val="94"/>
              </w:rPr>
              <w:t>Amount of Gain (Loss)</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Location of Gain (Loss)</w:t>
            </w:r>
          </w:p>
        </w:tc>
        <w:tc>
          <w:tcPr>
            <w:tcW w:w="0" w:type="dxa"/>
            <w:vAlign w:val="bottom"/>
          </w:tcPr>
          <w:p>
            <w:pPr>
              <w:spacing w:after="0"/>
              <w:rPr>
                <w:sz w:val="1"/>
                <w:szCs w:val="1"/>
                <w:color w:val="auto"/>
              </w:rPr>
            </w:pPr>
          </w:p>
        </w:tc>
      </w:tr>
      <w:tr>
        <w:trPr>
          <w:trHeight w:val="149"/>
        </w:trPr>
        <w:tc>
          <w:tcPr>
            <w:tcW w:w="4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660" w:type="dxa"/>
            <w:vAlign w:val="bottom"/>
            <w:gridSpan w:val="4"/>
          </w:tcPr>
          <w:p>
            <w:pPr>
              <w:jc w:val="center"/>
              <w:ind w:left="564"/>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0" w:type="dxa"/>
            <w:vAlign w:val="bottom"/>
          </w:tcPr>
          <w:p>
            <w:pPr>
              <w:spacing w:after="0"/>
              <w:rPr>
                <w:sz w:val="1"/>
                <w:szCs w:val="1"/>
                <w:color w:val="auto"/>
              </w:rPr>
            </w:pPr>
          </w:p>
        </w:tc>
      </w:tr>
      <w:tr>
        <w:trPr>
          <w:trHeight w:val="192"/>
        </w:trPr>
        <w:tc>
          <w:tcPr>
            <w:tcW w:w="4060" w:type="dxa"/>
            <w:vAlign w:val="bottom"/>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239"/>
              <w:spacing w:after="0"/>
              <w:rPr>
                <w:sz w:val="20"/>
                <w:szCs w:val="20"/>
                <w:color w:val="auto"/>
              </w:rPr>
            </w:pPr>
            <w:r>
              <w:rPr>
                <w:rFonts w:ascii="Arial" w:cs="Arial" w:eastAsia="Arial" w:hAnsi="Arial"/>
                <w:sz w:val="14"/>
                <w:szCs w:val="14"/>
                <w:b w:val="1"/>
                <w:bCs w:val="1"/>
                <w:color w:val="auto"/>
                <w:w w:val="95"/>
              </w:rPr>
              <w:t>Derivative</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2"/>
                <w:szCs w:val="22"/>
                <w:color w:val="auto"/>
              </w:rPr>
            </w:pPr>
          </w:p>
        </w:tc>
        <w:tc>
          <w:tcPr>
            <w:tcW w:w="32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Nine Months Ended September 30,</w:t>
            </w:r>
          </w:p>
        </w:tc>
        <w:tc>
          <w:tcPr>
            <w:tcW w:w="1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6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940" w:type="dxa"/>
            <w:vAlign w:val="bottom"/>
            <w:shd w:val="clear" w:color="auto" w:fill="CCEEFF"/>
          </w:tcPr>
          <w:p>
            <w:pPr>
              <w:jc w:val="right"/>
              <w:ind w:right="744"/>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(6,860)</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8,097</w:t>
            </w:r>
          </w:p>
        </w:tc>
        <w:tc>
          <w:tcPr>
            <w:tcW w:w="120" w:type="dxa"/>
            <w:vAlign w:val="bottom"/>
            <w:shd w:val="clear" w:color="auto" w:fill="CCEEFF"/>
          </w:tcPr>
          <w:p>
            <w:pPr>
              <w:spacing w:after="0"/>
              <w:rPr>
                <w:sz w:val="21"/>
                <w:szCs w:val="21"/>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27"/>
        </w:trPr>
        <w:tc>
          <w:tcPr>
            <w:tcW w:w="40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Most of these net gains (losses) offset any recognized gains (losses) arising from the revaluation of the related intercompany loans during the same respective periods.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the effect of the Company’s derivative instruments designated as cash flow and net investment hedging instruments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for the three and nine months ended September 30, 2016 and 2015 (in thousands):</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38"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5"/>
            <w:vMerge w:val="restart"/>
          </w:tcPr>
          <w:p>
            <w:pPr>
              <w:jc w:val="center"/>
              <w:ind w:right="30"/>
              <w:spacing w:after="0"/>
              <w:rPr>
                <w:sz w:val="20"/>
                <w:szCs w:val="20"/>
                <w:color w:val="auto"/>
              </w:rPr>
            </w:pPr>
            <w:r>
              <w:rPr>
                <w:rFonts w:ascii="Arial" w:cs="Arial" w:eastAsia="Arial" w:hAnsi="Arial"/>
                <w:sz w:val="14"/>
                <w:szCs w:val="14"/>
                <w:b w:val="1"/>
                <w:bCs w:val="1"/>
                <w:color w:val="auto"/>
                <w:w w:val="94"/>
              </w:rPr>
              <w:t>Amount of (Loss) Gain</w:t>
            </w:r>
          </w:p>
        </w:tc>
        <w:tc>
          <w:tcPr>
            <w:tcW w:w="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4"/>
          </w:tcPr>
          <w:p>
            <w:pPr>
              <w:jc w:val="center"/>
              <w:ind w:right="13"/>
              <w:spacing w:after="0"/>
              <w:rPr>
                <w:sz w:val="20"/>
                <w:szCs w:val="20"/>
                <w:color w:val="auto"/>
              </w:rPr>
            </w:pPr>
            <w:r>
              <w:rPr>
                <w:rFonts w:ascii="Arial" w:cs="Arial" w:eastAsia="Arial" w:hAnsi="Arial"/>
                <w:sz w:val="14"/>
                <w:szCs w:val="14"/>
                <w:b w:val="1"/>
                <w:bCs w:val="1"/>
                <w:color w:val="auto"/>
                <w:w w:val="94"/>
              </w:rPr>
              <w:t>Amount of (Loss) Gain</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Location of (Loss) Gain</w:t>
            </w:r>
          </w:p>
        </w:tc>
        <w:tc>
          <w:tcPr>
            <w:tcW w:w="120" w:type="dxa"/>
            <w:vAlign w:val="bottom"/>
          </w:tcPr>
          <w:p>
            <w:pPr>
              <w:spacing w:after="0"/>
              <w:rPr>
                <w:sz w:val="12"/>
                <w:szCs w:val="12"/>
                <w:color w:val="auto"/>
              </w:rPr>
            </w:pPr>
          </w:p>
        </w:tc>
        <w:tc>
          <w:tcPr>
            <w:tcW w:w="2360" w:type="dxa"/>
            <w:vAlign w:val="bottom"/>
            <w:gridSpan w:val="4"/>
          </w:tcPr>
          <w:p>
            <w:pPr>
              <w:jc w:val="center"/>
              <w:ind w:right="13"/>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4"/>
          </w:tcPr>
          <w:p>
            <w:pPr>
              <w:jc w:val="center"/>
              <w:ind w:left="380"/>
              <w:spacing w:after="0" w:line="149" w:lineRule="exact"/>
              <w:rPr>
                <w:sz w:val="20"/>
                <w:szCs w:val="20"/>
                <w:color w:val="auto"/>
              </w:rPr>
            </w:pPr>
            <w:r>
              <w:rPr>
                <w:rFonts w:ascii="Arial" w:cs="Arial" w:eastAsia="Arial" w:hAnsi="Arial"/>
                <w:sz w:val="14"/>
                <w:szCs w:val="14"/>
                <w:b w:val="1"/>
                <w:bCs w:val="1"/>
                <w:color w:val="auto"/>
                <w:w w:val="92"/>
              </w:rPr>
              <w:t>Recognized in OCI on</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Accumulated OCI into</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4"/>
          </w:tcPr>
          <w:p>
            <w:pPr>
              <w:jc w:val="center"/>
              <w:ind w:left="380"/>
              <w:spacing w:after="0" w:line="149" w:lineRule="exact"/>
              <w:rPr>
                <w:sz w:val="20"/>
                <w:szCs w:val="20"/>
                <w:color w:val="auto"/>
              </w:rPr>
            </w:pPr>
            <w:r>
              <w:rPr>
                <w:rFonts w:ascii="Arial" w:cs="Arial" w:eastAsia="Arial" w:hAnsi="Arial"/>
                <w:sz w:val="14"/>
                <w:szCs w:val="14"/>
                <w:b w:val="1"/>
                <w:bCs w:val="1"/>
                <w:color w:val="auto"/>
                <w:w w:val="94"/>
              </w:rPr>
              <w:t>Derivative (Effective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Reclassified from AOCI into</w:t>
            </w:r>
          </w:p>
        </w:tc>
        <w:tc>
          <w:tcPr>
            <w:tcW w:w="120" w:type="dxa"/>
            <w:vAlign w:val="bottom"/>
          </w:tcPr>
          <w:p>
            <w:pPr>
              <w:spacing w:after="0"/>
              <w:rPr>
                <w:sz w:val="12"/>
                <w:szCs w:val="12"/>
                <w:color w:val="auto"/>
              </w:rPr>
            </w:pPr>
          </w:p>
        </w:tc>
        <w:tc>
          <w:tcPr>
            <w:tcW w:w="2360" w:type="dxa"/>
            <w:vAlign w:val="bottom"/>
            <w:gridSpan w:val="4"/>
          </w:tcPr>
          <w:p>
            <w:pPr>
              <w:jc w:val="center"/>
              <w:ind w:right="13"/>
              <w:spacing w:after="0" w:line="149" w:lineRule="exact"/>
              <w:rPr>
                <w:sz w:val="20"/>
                <w:szCs w:val="20"/>
                <w:color w:val="auto"/>
              </w:rPr>
            </w:pPr>
            <w:r>
              <w:rPr>
                <w:rFonts w:ascii="Arial" w:cs="Arial" w:eastAsia="Arial" w:hAnsi="Arial"/>
                <w:sz w:val="14"/>
                <w:szCs w:val="14"/>
                <w:b w:val="1"/>
                <w:bCs w:val="1"/>
                <w:color w:val="auto"/>
                <w:w w:val="94"/>
              </w:rPr>
              <w:t>Income (Effective</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3"/>
          </w:tcPr>
          <w:p>
            <w:pPr>
              <w:jc w:val="center"/>
              <w:ind w:left="680"/>
              <w:spacing w:after="0"/>
              <w:rPr>
                <w:sz w:val="20"/>
                <w:szCs w:val="20"/>
                <w:color w:val="auto"/>
              </w:rPr>
            </w:pPr>
            <w:r>
              <w:rPr>
                <w:rFonts w:ascii="Arial" w:cs="Arial" w:eastAsia="Arial" w:hAnsi="Arial"/>
                <w:sz w:val="14"/>
                <w:szCs w:val="14"/>
                <w:b w:val="1"/>
                <w:bCs w:val="1"/>
                <w:color w:val="auto"/>
                <w:w w:val="93"/>
              </w:rPr>
              <w:t>Portion)</w:t>
            </w: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Income (Effective Portion)</w:t>
            </w:r>
          </w:p>
        </w:tc>
        <w:tc>
          <w:tcPr>
            <w:tcW w:w="120" w:type="dxa"/>
            <w:vAlign w:val="bottom"/>
          </w:tcPr>
          <w:p>
            <w:pPr>
              <w:spacing w:after="0"/>
              <w:rPr>
                <w:sz w:val="16"/>
                <w:szCs w:val="16"/>
                <w:color w:val="auto"/>
              </w:rPr>
            </w:pPr>
          </w:p>
        </w:tc>
        <w:tc>
          <w:tcPr>
            <w:tcW w:w="1520" w:type="dxa"/>
            <w:vAlign w:val="bottom"/>
            <w:gridSpan w:val="3"/>
          </w:tcPr>
          <w:p>
            <w:pPr>
              <w:jc w:val="center"/>
              <w:ind w:left="661"/>
              <w:spacing w:after="0"/>
              <w:rPr>
                <w:sz w:val="20"/>
                <w:szCs w:val="20"/>
                <w:color w:val="auto"/>
              </w:rPr>
            </w:pPr>
            <w:r>
              <w:rPr>
                <w:rFonts w:ascii="Arial" w:cs="Arial" w:eastAsia="Arial" w:hAnsi="Arial"/>
                <w:sz w:val="14"/>
                <w:szCs w:val="14"/>
                <w:b w:val="1"/>
                <w:bCs w:val="1"/>
                <w:color w:val="auto"/>
                <w:w w:val="93"/>
              </w:rPr>
              <w:t>Portion)</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4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2420" w:type="dxa"/>
            <w:vAlign w:val="bottom"/>
            <w:tcBorders>
              <w:top w:val="single" w:sz="8" w:color="auto"/>
            </w:tcBorders>
            <w:gridSpan w:val="5"/>
            <w:shd w:val="clear" w:color="auto" w:fill="CCEEFF"/>
          </w:tcPr>
          <w:p>
            <w:pPr>
              <w:jc w:val="center"/>
              <w:ind w:right="30"/>
              <w:spacing w:after="0"/>
              <w:rPr>
                <w:sz w:val="20"/>
                <w:szCs w:val="20"/>
                <w:color w:val="auto"/>
              </w:rPr>
            </w:pPr>
            <w:r>
              <w:rPr>
                <w:rFonts w:ascii="Arial" w:cs="Arial" w:eastAsia="Arial" w:hAnsi="Arial"/>
                <w:sz w:val="14"/>
                <w:szCs w:val="14"/>
                <w:b w:val="1"/>
                <w:bCs w:val="1"/>
                <w:color w:val="auto"/>
                <w:w w:val="93"/>
              </w:rPr>
              <w:t>Three Months Ended September 30,</w:t>
            </w:r>
          </w:p>
        </w:tc>
        <w:tc>
          <w:tcPr>
            <w:tcW w:w="100" w:type="dxa"/>
            <w:vAlign w:val="bottom"/>
            <w:tcBorders>
              <w:top w:val="single" w:sz="8" w:color="CCEEFF"/>
            </w:tcBorders>
            <w:shd w:val="clear" w:color="auto" w:fill="CCEEFF"/>
          </w:tcPr>
          <w:p>
            <w:pPr>
              <w:spacing w:after="0"/>
              <w:rPr>
                <w:sz w:val="22"/>
                <w:szCs w:val="22"/>
                <w:color w:val="auto"/>
              </w:rPr>
            </w:pPr>
          </w:p>
        </w:tc>
        <w:tc>
          <w:tcPr>
            <w:tcW w:w="27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2360" w:type="dxa"/>
            <w:vAlign w:val="bottom"/>
            <w:tcBorders>
              <w:top w:val="single" w:sz="8" w:color="auto"/>
            </w:tcBorders>
            <w:gridSpan w:val="4"/>
            <w:shd w:val="clear" w:color="auto" w:fill="CCEEFF"/>
          </w:tcPr>
          <w:p>
            <w:pPr>
              <w:jc w:val="center"/>
              <w:ind w:right="13"/>
              <w:spacing w:after="0"/>
              <w:rPr>
                <w:sz w:val="20"/>
                <w:szCs w:val="20"/>
                <w:color w:val="auto"/>
              </w:rPr>
            </w:pPr>
            <w:r>
              <w:rPr>
                <w:rFonts w:ascii="Arial" w:cs="Arial" w:eastAsia="Arial" w:hAnsi="Arial"/>
                <w:sz w:val="14"/>
                <w:szCs w:val="14"/>
                <w:b w:val="1"/>
                <w:bCs w:val="1"/>
                <w:color w:val="auto"/>
                <w:w w:val="93"/>
              </w:rPr>
              <w:t>Three Months Ended September 30,</w:t>
            </w: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1"/>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in Cash Flow Hedging</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Relationships:</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40"/>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1"/>
                <w:szCs w:val="21"/>
                <w:color w:val="auto"/>
              </w:rPr>
            </w:pPr>
          </w:p>
        </w:tc>
        <w:tc>
          <w:tcPr>
            <w:tcW w:w="3520" w:type="dxa"/>
            <w:vAlign w:val="bottom"/>
            <w:gridSpan w:val="4"/>
          </w:tcPr>
          <w:p>
            <w:pPr>
              <w:spacing w:after="0"/>
              <w:rPr>
                <w:sz w:val="20"/>
                <w:szCs w:val="20"/>
                <w:color w:val="auto"/>
              </w:rPr>
            </w:pPr>
            <w:r>
              <w:rPr>
                <w:rFonts w:ascii="Arial" w:cs="Arial" w:eastAsia="Arial" w:hAnsi="Arial"/>
                <w:sz w:val="18"/>
                <w:szCs w:val="18"/>
                <w:color w:val="auto"/>
              </w:rPr>
              <w:t>(7,794)  Cost of goods sold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(544)</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6,956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(4,703)</w:t>
            </w:r>
          </w:p>
        </w:tc>
        <w:tc>
          <w:tcPr>
            <w:tcW w:w="100" w:type="dxa"/>
            <w:vAlign w:val="bottom"/>
            <w:shd w:val="clear" w:color="auto" w:fill="CCEEFF"/>
          </w:tcPr>
          <w:p>
            <w:pPr>
              <w:spacing w:after="0"/>
              <w:rPr>
                <w:sz w:val="23"/>
                <w:szCs w:val="23"/>
                <w:color w:val="auto"/>
              </w:rPr>
            </w:pP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5"/>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Derivatives in Net Investment Hedging</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Relationships: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Euro Senior notes - 2016</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(13,044)</w:t>
            </w:r>
          </w:p>
        </w:tc>
        <w:tc>
          <w:tcPr>
            <w:tcW w:w="10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6,887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20" w:type="dxa"/>
            <w:vAlign w:val="bottom"/>
            <w:gridSpan w:val="5"/>
            <w:vMerge w:val="restart"/>
            <w:shd w:val="clear" w:color="auto" w:fill="CCEEFF"/>
          </w:tcPr>
          <w:p>
            <w:pPr>
              <w:jc w:val="center"/>
              <w:ind w:right="30"/>
              <w:spacing w:after="0"/>
              <w:rPr>
                <w:sz w:val="20"/>
                <w:szCs w:val="20"/>
                <w:color w:val="auto"/>
              </w:rPr>
            </w:pPr>
            <w:r>
              <w:rPr>
                <w:rFonts w:ascii="Arial" w:cs="Arial" w:eastAsia="Arial" w:hAnsi="Arial"/>
                <w:sz w:val="14"/>
                <w:szCs w:val="14"/>
                <w:b w:val="1"/>
                <w:bCs w:val="1"/>
                <w:color w:val="auto"/>
                <w:w w:val="94"/>
              </w:rPr>
              <w:t>Amount of (Loss) Gain</w:t>
            </w:r>
          </w:p>
        </w:tc>
        <w:tc>
          <w:tcPr>
            <w:tcW w:w="100" w:type="dxa"/>
            <w:vAlign w:val="bottom"/>
            <w:shd w:val="clear" w:color="auto" w:fill="CCEEFF"/>
          </w:tcPr>
          <w:p>
            <w:pPr>
              <w:spacing w:after="0"/>
              <w:rPr>
                <w:sz w:val="13"/>
                <w:szCs w:val="13"/>
                <w:color w:val="auto"/>
              </w:rPr>
            </w:pPr>
          </w:p>
        </w:tc>
        <w:tc>
          <w:tcPr>
            <w:tcW w:w="2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360" w:type="dxa"/>
            <w:vAlign w:val="bottom"/>
            <w:gridSpan w:val="4"/>
            <w:shd w:val="clear" w:color="auto" w:fill="CCEEFF"/>
          </w:tcPr>
          <w:p>
            <w:pPr>
              <w:jc w:val="center"/>
              <w:ind w:right="13"/>
              <w:spacing w:after="0" w:line="153" w:lineRule="exact"/>
              <w:rPr>
                <w:sz w:val="20"/>
                <w:szCs w:val="20"/>
                <w:color w:val="auto"/>
              </w:rPr>
            </w:pPr>
            <w:r>
              <w:rPr>
                <w:rFonts w:ascii="Arial" w:cs="Arial" w:eastAsia="Arial" w:hAnsi="Arial"/>
                <w:sz w:val="14"/>
                <w:szCs w:val="14"/>
                <w:b w:val="1"/>
                <w:bCs w:val="1"/>
                <w:color w:val="auto"/>
                <w:w w:val="94"/>
              </w:rPr>
              <w:t>Amount of (Loss) Gain</w:t>
            </w: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20" w:type="dxa"/>
            <w:vAlign w:val="bottom"/>
            <w:gridSpan w:val="5"/>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2"/>
              </w:rPr>
              <w:t>Location of (Loss) Gain</w:t>
            </w:r>
          </w:p>
        </w:tc>
        <w:tc>
          <w:tcPr>
            <w:tcW w:w="120" w:type="dxa"/>
            <w:vAlign w:val="bottom"/>
            <w:shd w:val="clear" w:color="auto" w:fill="CCEEFF"/>
          </w:tcPr>
          <w:p>
            <w:pPr>
              <w:spacing w:after="0"/>
              <w:rPr>
                <w:sz w:val="12"/>
                <w:szCs w:val="12"/>
                <w:color w:val="auto"/>
              </w:rPr>
            </w:pPr>
          </w:p>
        </w:tc>
        <w:tc>
          <w:tcPr>
            <w:tcW w:w="2360" w:type="dxa"/>
            <w:vAlign w:val="bottom"/>
            <w:gridSpan w:val="4"/>
            <w:shd w:val="clear" w:color="auto" w:fill="CCEEFF"/>
          </w:tcPr>
          <w:p>
            <w:pPr>
              <w:jc w:val="center"/>
              <w:ind w:right="13"/>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40" w:type="dxa"/>
            <w:vAlign w:val="bottom"/>
            <w:gridSpan w:val="4"/>
            <w:shd w:val="clear" w:color="auto" w:fill="CCEEFF"/>
          </w:tcPr>
          <w:p>
            <w:pPr>
              <w:jc w:val="center"/>
              <w:ind w:left="380"/>
              <w:spacing w:after="0" w:line="149" w:lineRule="exact"/>
              <w:rPr>
                <w:sz w:val="20"/>
                <w:szCs w:val="20"/>
                <w:color w:val="auto"/>
              </w:rPr>
            </w:pPr>
            <w:r>
              <w:rPr>
                <w:rFonts w:ascii="Arial" w:cs="Arial" w:eastAsia="Arial" w:hAnsi="Arial"/>
                <w:sz w:val="14"/>
                <w:szCs w:val="14"/>
                <w:b w:val="1"/>
                <w:bCs w:val="1"/>
                <w:color w:val="auto"/>
                <w:w w:val="92"/>
              </w:rPr>
              <w:t>Recognized in OCI on</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60" w:type="dxa"/>
            <w:vAlign w:val="bottom"/>
            <w:gridSpan w:val="4"/>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5"/>
              </w:rPr>
              <w:t>Accumulated OCI into</w:t>
            </w: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40" w:type="dxa"/>
            <w:vAlign w:val="bottom"/>
            <w:gridSpan w:val="4"/>
            <w:shd w:val="clear" w:color="auto" w:fill="CCEEFF"/>
          </w:tcPr>
          <w:p>
            <w:pPr>
              <w:jc w:val="center"/>
              <w:ind w:left="380"/>
              <w:spacing w:after="0" w:line="149" w:lineRule="exact"/>
              <w:rPr>
                <w:sz w:val="20"/>
                <w:szCs w:val="20"/>
                <w:color w:val="auto"/>
              </w:rPr>
            </w:pPr>
            <w:r>
              <w:rPr>
                <w:rFonts w:ascii="Arial" w:cs="Arial" w:eastAsia="Arial" w:hAnsi="Arial"/>
                <w:sz w:val="14"/>
                <w:szCs w:val="14"/>
                <w:b w:val="1"/>
                <w:bCs w:val="1"/>
                <w:color w:val="auto"/>
                <w:w w:val="94"/>
              </w:rPr>
              <w:t>Derivative (Effective</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Reclassified from AOCI into</w:t>
            </w:r>
          </w:p>
        </w:tc>
        <w:tc>
          <w:tcPr>
            <w:tcW w:w="120" w:type="dxa"/>
            <w:vAlign w:val="bottom"/>
            <w:shd w:val="clear" w:color="auto" w:fill="CCEEFF"/>
          </w:tcPr>
          <w:p>
            <w:pPr>
              <w:spacing w:after="0"/>
              <w:rPr>
                <w:sz w:val="12"/>
                <w:szCs w:val="12"/>
                <w:color w:val="auto"/>
              </w:rPr>
            </w:pPr>
          </w:p>
        </w:tc>
        <w:tc>
          <w:tcPr>
            <w:tcW w:w="2360" w:type="dxa"/>
            <w:vAlign w:val="bottom"/>
            <w:gridSpan w:val="4"/>
            <w:shd w:val="clear" w:color="auto" w:fill="CCEEFF"/>
          </w:tcPr>
          <w:p>
            <w:pPr>
              <w:jc w:val="center"/>
              <w:ind w:right="13"/>
              <w:spacing w:after="0" w:line="149" w:lineRule="exact"/>
              <w:rPr>
                <w:sz w:val="20"/>
                <w:szCs w:val="20"/>
                <w:color w:val="auto"/>
              </w:rPr>
            </w:pPr>
            <w:r>
              <w:rPr>
                <w:rFonts w:ascii="Arial" w:cs="Arial" w:eastAsia="Arial" w:hAnsi="Arial"/>
                <w:sz w:val="14"/>
                <w:szCs w:val="14"/>
                <w:b w:val="1"/>
                <w:bCs w:val="1"/>
                <w:color w:val="auto"/>
                <w:w w:val="94"/>
              </w:rPr>
              <w:t>Income (Effective</w:t>
            </w:r>
          </w:p>
        </w:tc>
        <w:tc>
          <w:tcPr>
            <w:tcW w:w="0" w:type="dxa"/>
            <w:vAlign w:val="bottom"/>
          </w:tcPr>
          <w:p>
            <w:pPr>
              <w:spacing w:after="0"/>
              <w:rPr>
                <w:sz w:val="1"/>
                <w:szCs w:val="1"/>
                <w:color w:val="auto"/>
              </w:rPr>
            </w:pPr>
          </w:p>
        </w:tc>
      </w:tr>
      <w:tr>
        <w:trPr>
          <w:trHeight w:val="192"/>
        </w:trPr>
        <w:tc>
          <w:tcPr>
            <w:tcW w:w="3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gridSpan w:val="3"/>
            <w:shd w:val="clear" w:color="auto" w:fill="CCEEFF"/>
          </w:tcPr>
          <w:p>
            <w:pPr>
              <w:jc w:val="center"/>
              <w:ind w:left="680"/>
              <w:spacing w:after="0"/>
              <w:rPr>
                <w:sz w:val="20"/>
                <w:szCs w:val="20"/>
                <w:color w:val="auto"/>
              </w:rPr>
            </w:pPr>
            <w:r>
              <w:rPr>
                <w:rFonts w:ascii="Arial" w:cs="Arial" w:eastAsia="Arial" w:hAnsi="Arial"/>
                <w:sz w:val="14"/>
                <w:szCs w:val="14"/>
                <w:b w:val="1"/>
                <w:bCs w:val="1"/>
                <w:color w:val="auto"/>
                <w:w w:val="93"/>
              </w:rPr>
              <w:t>Portion)</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4"/>
              </w:rPr>
              <w:t>Income (Effective Portion)</w:t>
            </w:r>
          </w:p>
        </w:tc>
        <w:tc>
          <w:tcPr>
            <w:tcW w:w="120" w:type="dxa"/>
            <w:vAlign w:val="bottom"/>
            <w:shd w:val="clear" w:color="auto" w:fill="CCEEFF"/>
          </w:tcPr>
          <w:p>
            <w:pPr>
              <w:spacing w:after="0"/>
              <w:rPr>
                <w:sz w:val="16"/>
                <w:szCs w:val="16"/>
                <w:color w:val="auto"/>
              </w:rPr>
            </w:pPr>
          </w:p>
        </w:tc>
        <w:tc>
          <w:tcPr>
            <w:tcW w:w="1520" w:type="dxa"/>
            <w:vAlign w:val="bottom"/>
            <w:gridSpan w:val="3"/>
            <w:shd w:val="clear" w:color="auto" w:fill="CCEEFF"/>
          </w:tcPr>
          <w:p>
            <w:pPr>
              <w:jc w:val="center"/>
              <w:ind w:left="661"/>
              <w:spacing w:after="0"/>
              <w:rPr>
                <w:sz w:val="20"/>
                <w:szCs w:val="20"/>
                <w:color w:val="auto"/>
              </w:rPr>
            </w:pPr>
            <w:r>
              <w:rPr>
                <w:rFonts w:ascii="Arial" w:cs="Arial" w:eastAsia="Arial" w:hAnsi="Arial"/>
                <w:sz w:val="14"/>
                <w:szCs w:val="14"/>
                <w:b w:val="1"/>
                <w:bCs w:val="1"/>
                <w:color w:val="auto"/>
                <w:w w:val="93"/>
              </w:rPr>
              <w:t>Portion)</w:t>
            </w: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420" w:type="dxa"/>
            <w:vAlign w:val="bottom"/>
            <w:tcBorders>
              <w:top w:val="single" w:sz="8" w:color="auto"/>
            </w:tcBorders>
            <w:gridSpan w:val="5"/>
          </w:tcPr>
          <w:p>
            <w:pPr>
              <w:jc w:val="center"/>
              <w:ind w:right="30"/>
              <w:spacing w:after="0"/>
              <w:rPr>
                <w:sz w:val="20"/>
                <w:szCs w:val="20"/>
                <w:color w:val="auto"/>
              </w:rPr>
            </w:pPr>
            <w:r>
              <w:rPr>
                <w:rFonts w:ascii="Arial" w:cs="Arial" w:eastAsia="Arial" w:hAnsi="Arial"/>
                <w:sz w:val="14"/>
                <w:szCs w:val="14"/>
                <w:b w:val="1"/>
                <w:bCs w:val="1"/>
                <w:color w:val="auto"/>
                <w:w w:val="92"/>
              </w:rPr>
              <w:t>Nine Months Ended September 30,</w:t>
            </w:r>
          </w:p>
        </w:tc>
        <w:tc>
          <w:tcPr>
            <w:tcW w:w="100" w:type="dxa"/>
            <w:vAlign w:val="bottom"/>
          </w:tcPr>
          <w:p>
            <w:pPr>
              <w:spacing w:after="0"/>
              <w:rPr>
                <w:sz w:val="21"/>
                <w:szCs w:val="21"/>
                <w:color w:val="auto"/>
              </w:rPr>
            </w:pPr>
          </w:p>
        </w:tc>
        <w:tc>
          <w:tcPr>
            <w:tcW w:w="2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360" w:type="dxa"/>
            <w:vAlign w:val="bottom"/>
            <w:tcBorders>
              <w:top w:val="single" w:sz="8" w:color="auto"/>
            </w:tcBorders>
            <w:gridSpan w:val="4"/>
          </w:tcPr>
          <w:p>
            <w:pPr>
              <w:jc w:val="center"/>
              <w:ind w:right="13"/>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76"/>
        </w:trPr>
        <w:tc>
          <w:tcPr>
            <w:tcW w:w="344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4"/>
                <w:szCs w:val="14"/>
                <w:b w:val="1"/>
                <w:bCs w:val="1"/>
                <w:color w:val="auto"/>
              </w:rPr>
              <w:t>2016</w:t>
            </w:r>
          </w:p>
        </w:tc>
        <w:tc>
          <w:tcPr>
            <w:tcW w:w="2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gridSpan w:val="2"/>
            <w:shd w:val="clear" w:color="auto" w:fill="CCEEFF"/>
          </w:tcPr>
          <w:p>
            <w:pPr>
              <w:jc w:val="right"/>
              <w:ind w:right="350"/>
              <w:spacing w:after="0"/>
              <w:rPr>
                <w:sz w:val="20"/>
                <w:szCs w:val="20"/>
                <w:color w:val="auto"/>
              </w:rPr>
            </w:pPr>
            <w:r>
              <w:rPr>
                <w:rFonts w:ascii="Arial" w:cs="Arial" w:eastAsia="Arial" w:hAnsi="Arial"/>
                <w:sz w:val="14"/>
                <w:szCs w:val="14"/>
                <w:b w:val="1"/>
                <w:bCs w:val="1"/>
                <w:color w:val="auto"/>
              </w:rPr>
              <w:t>2015</w:t>
            </w:r>
          </w:p>
        </w:tc>
        <w:tc>
          <w:tcPr>
            <w:tcW w:w="10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4"/>
                <w:szCs w:val="14"/>
                <w:b w:val="1"/>
                <w:bCs w:val="1"/>
                <w:color w:val="auto"/>
              </w:rPr>
              <w:t>2016</w:t>
            </w:r>
          </w:p>
        </w:tc>
        <w:tc>
          <w:tcPr>
            <w:tcW w:w="2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5"/>
        </w:trPr>
        <w:tc>
          <w:tcPr>
            <w:tcW w:w="344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Derivatives in Cash Flow Hedging</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Relationships: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(1,815)  Cost of goods sold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4,808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11,540</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(2,830)</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(4,565)</w:t>
            </w:r>
          </w:p>
        </w:tc>
        <w:tc>
          <w:tcPr>
            <w:tcW w:w="100" w:type="dxa"/>
            <w:vAlign w:val="bottom"/>
          </w:tcPr>
          <w:p>
            <w:pPr>
              <w:spacing w:after="0"/>
              <w:rPr>
                <w:sz w:val="23"/>
                <w:szCs w:val="23"/>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0"/>
        </w:trPr>
        <w:tc>
          <w:tcPr>
            <w:tcW w:w="3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Derivatives in Net Investment Hedging</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Relationships: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2,984</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Euro Senior notes - 2016</w:t>
            </w:r>
          </w:p>
        </w:tc>
        <w:tc>
          <w:tcPr>
            <w:tcW w:w="14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8"/>
                <w:szCs w:val="18"/>
                <w:color w:val="auto"/>
              </w:rPr>
              <w:t>6,793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(3,396)</w:t>
            </w:r>
          </w:p>
        </w:tc>
        <w:tc>
          <w:tcPr>
            <w:tcW w:w="10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4,380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11,333</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Interest rate swaps were entered into as pre-issuance hedges.</w:t>
      </w:r>
    </w:p>
    <w:p>
      <w:pPr>
        <w:spacing w:after="0" w:line="22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No ineffectiveness was experienced in the above noted cash flow or net investment hedges during the three and nine months ended September 30, 2016 and 2015.</w:t>
      </w:r>
    </w:p>
    <w:p>
      <w:pPr>
        <w:spacing w:after="0" w:line="116"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Company expects that approximately $0.6 million (net of tax) of derivative gains included in AOCI at September 30, 2016, based on current market rates, will be reclassified into earnings within the next 12 months. The majority of this amount will vary due to fluctuations in foreign currency exchange rates.</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2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12. Accumulated Other Comprehensive Income (Loss):</w:t>
      </w:r>
    </w:p>
    <w:p>
      <w:pPr>
        <w:spacing w:after="0" w:line="9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including current period other comprehensive income and reclassifications out of accumulated other comprehensive income: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(Losses) Gains on</w:t>
            </w: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Pension and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9,401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(325,342)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(613,440)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7,719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w w:val="99"/>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7,719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(294,301)</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(317,623)</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(611,647)</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September 30, 2016</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(Losses) Gains on</w:t>
            </w:r>
          </w:p>
        </w:tc>
        <w:tc>
          <w:tcPr>
            <w:tcW w:w="24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Pension and</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12,371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(379,459)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(540,430)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(81,326)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8"/>
              <w:spacing w:after="0"/>
              <w:rPr>
                <w:sz w:val="20"/>
                <w:szCs w:val="20"/>
                <w:color w:val="auto"/>
              </w:rPr>
            </w:pPr>
            <w:r>
              <w:rPr>
                <w:rFonts w:ascii="Arial" w:cs="Arial" w:eastAsia="Arial" w:hAnsi="Arial"/>
                <w:sz w:val="18"/>
                <w:szCs w:val="18"/>
                <w:color w:val="auto"/>
              </w:rPr>
              <w:t>4,952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(76,374)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16,501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w w:val="99"/>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(81,326)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16,501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(71,206)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(254,668)</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5,990</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(362,958)</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(611,636)</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September 30, 2015</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following table provides details about reclassifications out of accumulated other comprehensive income to the Consolidated Statement of Comprehensive Income: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5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6"/>
              </w:rPr>
              <w:t>Nine Months Ended</w:t>
            </w:r>
          </w:p>
        </w:tc>
        <w:tc>
          <w:tcPr>
            <w:tcW w:w="12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4"/>
              </w:rPr>
              <w:t>Affected Line Item in the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Consolidated Statement</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2016</w:t>
            </w:r>
          </w:p>
        </w:tc>
        <w:tc>
          <w:tcPr>
            <w:tcW w:w="160" w:type="dxa"/>
            <w:vAlign w:val="bottom"/>
          </w:tcPr>
          <w:p>
            <w:pPr>
              <w:spacing w:after="0"/>
              <w:rPr>
                <w:sz w:val="16"/>
                <w:szCs w:val="16"/>
                <w:color w:val="auto"/>
              </w:rPr>
            </w:pPr>
          </w:p>
        </w:tc>
        <w:tc>
          <w:tcPr>
            <w:tcW w:w="150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September 30, 2015</w:t>
            </w:r>
          </w:p>
        </w:tc>
        <w:tc>
          <w:tcPr>
            <w:tcW w:w="12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3"/>
              </w:rPr>
              <w:t>of Comprehensive Income</w:t>
            </w: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gains on derivatives qualifying as hedges</w:t>
            </w:r>
          </w:p>
        </w:tc>
        <w:tc>
          <w:tcPr>
            <w:tcW w:w="2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5,495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13,189</w:t>
            </w:r>
          </w:p>
        </w:tc>
        <w:tc>
          <w:tcPr>
            <w:tcW w:w="120" w:type="dxa"/>
            <w:vAlign w:val="bottom"/>
          </w:tcPr>
          <w:p>
            <w:pPr>
              <w:spacing w:after="0"/>
              <w:rPr>
                <w:sz w:val="21"/>
                <w:szCs w:val="21"/>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(1,649)</w:t>
            </w:r>
          </w:p>
        </w:tc>
        <w:tc>
          <w:tcPr>
            <w:tcW w:w="120" w:type="dxa"/>
            <w:vAlign w:val="bottom"/>
          </w:tcPr>
          <w:p>
            <w:pPr>
              <w:spacing w:after="0"/>
              <w:rPr>
                <w:sz w:val="21"/>
                <w:szCs w:val="21"/>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4,380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11,333</w:t>
            </w:r>
          </w:p>
        </w:tc>
        <w:tc>
          <w:tcPr>
            <w:tcW w:w="120" w:type="dxa"/>
            <w:vAlign w:val="bottom"/>
            <w:tcBorders>
              <w:bottom w:val="single" w:sz="8" w:color="CCEEFF"/>
            </w:tcBorders>
            <w:shd w:val="clear" w:color="auto" w:fill="CCEEFF"/>
          </w:tcPr>
          <w:p>
            <w:pPr>
              <w:spacing w:after="0"/>
              <w:rPr>
                <w:sz w:val="22"/>
                <w:szCs w:val="22"/>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(Losses) gains on pension and postretirement liability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Prior 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3,472</w:t>
            </w:r>
          </w:p>
        </w:tc>
        <w:tc>
          <w:tcPr>
            <w:tcW w:w="1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Actuarial losses</w:t>
            </w: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(15,434)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(27,134)</w:t>
            </w:r>
          </w:p>
        </w:tc>
        <w:tc>
          <w:tcPr>
            <w:tcW w:w="120" w:type="dxa"/>
            <w:vAlign w:val="bottom"/>
          </w:tcPr>
          <w:p>
            <w:pPr>
              <w:spacing w:after="0"/>
              <w:rPr>
                <w:sz w:val="21"/>
                <w:szCs w:val="21"/>
                <w:color w:val="auto"/>
              </w:rPr>
            </w:pPr>
          </w:p>
        </w:tc>
        <w:tc>
          <w:tcPr>
            <w:tcW w:w="2680" w:type="dxa"/>
            <w:vAlign w:val="bottom"/>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7,161</w:t>
            </w:r>
          </w:p>
        </w:tc>
        <w:tc>
          <w:tcPr>
            <w:tcW w:w="120" w:type="dxa"/>
            <w:vAlign w:val="bottom"/>
            <w:tcBorders>
              <w:bottom w:val="single" w:sz="8" w:color="CCEEFF"/>
            </w:tcBorders>
            <w:shd w:val="clear" w:color="auto" w:fill="CCEEFF"/>
          </w:tcPr>
          <w:p>
            <w:pPr>
              <w:spacing w:after="0"/>
              <w:rPr>
                <w:sz w:val="23"/>
                <w:szCs w:val="23"/>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(16,501)</w:t>
            </w:r>
          </w:p>
        </w:tc>
        <w:tc>
          <w:tcPr>
            <w:tcW w:w="12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26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amortization of prior service cost and actuarial loss is included in the computation of net periodic benefit cost. Refer to Note 14 of our 2015 Form 10-K for additional information regarding net periodic benefit cost.</w:t>
      </w: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2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Letters of Credit</w:t>
      </w:r>
    </w:p>
    <w:p>
      <w:pPr>
        <w:spacing w:after="0" w:line="94"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Company has various bank guarantees and letters of credit which are available for use to support its ongoing business operations and to satisfy governmental requirements associated with pending litigation in various jurisdictions.</w:t>
      </w:r>
    </w:p>
    <w:p>
      <w:pPr>
        <w:spacing w:after="0" w:line="116"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At September 30, 2016, we had total bank guarantees and standby letters of credit of approximately $39.2 million with various financial institutions. Included in the above aggregate amount is a total of $16.2 million in bank guarantees which the Company has posted for certain assessments in Brazil for other diverse income tax and indirect tax disputes related to fiscal years 1998-2011. There were no material amounts utilized under the standby letters of credit as of September 30, 2016.</w:t>
      </w:r>
    </w:p>
    <w:p>
      <w:pPr>
        <w:spacing w:after="0" w:line="13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order to challenge the assessments in these cases in Brazil, the Company has been required to, and has separately pledged assets, principally property, plant and equipment, to cover assessments in the amount of approximately $13.5 million as of September 30,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Credit</w:t>
      </w:r>
    </w:p>
    <w:p>
      <w:pPr>
        <w:spacing w:after="0" w:line="94"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The Company has various lines of credit which are available to support its ongoing business operations. At September 30, 2016, we had available lines of credit (in addition to the $950 million of capacity under the Credit Facility discussed in Note 8 of our 2015 Form 10-K) of approximately $76.9 million with various financial institutions. There were no significant amounts drawn down pursuant to these lines of credit as of September 30,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9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Company assesses contingencies related to litigation and/or other matters to determine the degree of probability and range of possible loss. A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contingencies is highly sensitive and requires judgments about future events. On at least a quarterly basis, the Company reviews contingencies related to litigation to determine the adequacy of accruals. The amount of ultimate loss may differ from these estimates and further events may require the Company to increase or decrease the amounts it has accrued on any matter.</w:t>
      </w:r>
    </w:p>
    <w:p>
      <w:pPr>
        <w:spacing w:after="0" w:line="139"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Periodically, we assess our insurance coverage for all known claims, where applicable, taking into account aggregate coverage by occurrence, limits of coverage, self-insured retentions and deductibles, historical claims experience and claims experience with our insurance carriers. The liabilities are recorded at management’s best estimate of the probable outcome of the lawsuits and claims, taking into consideration the facts and circumstances of the individual matters as well as past experience on similar matters. At each balance sheet date, the key issues that management assesses are whether it is probable that a loss as to asserted or unasserted claims has been incurred and if so, whether the amount of loss can be reasonably estimated. We record the expected liability with respect to claims in Other liabilities and expected recoveries from our insurance carriers in Other assets. We recognize a receivable when we believe that realization of the insurance receivable is probable under the terms of the insurance policies and our payment experience to 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jc w:val="both"/>
        <w:ind w:right="200" w:firstLine="432"/>
        <w:spacing w:after="0" w:line="256"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jc w:val="both"/>
        <w:ind w:right="40"/>
        <w:spacing w:after="0" w:line="255" w:lineRule="auto"/>
        <w:rPr>
          <w:sz w:val="20"/>
          <w:szCs w:val="20"/>
          <w:color w:val="auto"/>
        </w:rPr>
      </w:pPr>
      <w:r>
        <w:rPr>
          <w:rFonts w:ascii="Arial" w:cs="Arial" w:eastAsia="Arial" w:hAnsi="Arial"/>
          <w:sz w:val="18"/>
          <w:szCs w:val="18"/>
          <w:color w:val="auto"/>
        </w:rPr>
        <w:t>We have been identified as a PRP at eight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 million.</w:t>
      </w:r>
    </w:p>
    <w:p>
      <w:pPr>
        <w:spacing w:after="0" w:line="19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580"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China Facilities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Guangzhou Flavors plant</w:t>
      </w:r>
    </w:p>
    <w:p>
      <w:pPr>
        <w:spacing w:after="0" w:line="9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During 2015, the Company was notified by Chinese authorities of compliance issues pertaining to the emission of odors from several of its plants in China. As a result, the Company's Flavors facility in China was temporarily idled. Accordingly, the Company invested approximately $6.5 in odor-abatement equipment at these facilities to address these issues and is in the process of building a second Flavors site in China, which is expected to be completed during 2018. The net book value of the existing site approximates $73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Zhejiang Ingredients plant</w:t>
      </w:r>
    </w:p>
    <w:p>
      <w:pPr>
        <w:spacing w:after="0" w:line="90" w:lineRule="exact"/>
        <w:rPr>
          <w:sz w:val="20"/>
          <w:szCs w:val="20"/>
          <w:color w:val="auto"/>
        </w:rPr>
      </w:pPr>
    </w:p>
    <w:p>
      <w:pPr>
        <w:jc w:val="both"/>
        <w:ind w:right="200" w:firstLine="405"/>
        <w:spacing w:after="0" w:line="302" w:lineRule="auto"/>
        <w:rPr>
          <w:sz w:val="20"/>
          <w:szCs w:val="20"/>
          <w:color w:val="auto"/>
        </w:rPr>
      </w:pPr>
      <w:r>
        <w:rPr>
          <w:rFonts w:ascii="Arial" w:cs="Arial" w:eastAsia="Arial" w:hAnsi="Arial"/>
          <w:sz w:val="16"/>
          <w:szCs w:val="16"/>
          <w:color w:val="auto"/>
        </w:rPr>
        <w:t>The Company has received a request from the Chinese government to relocate its Fragrance Ingredients plant in Zhejiang, China. The Company is in discussions with the government regarding the timing of the requested relocation and the amount and nature of government compensation to be provided to the Company. The net book value of the current site approximates $27 million. Depending upon the ultimate outcome of these discussions with the Chinese government, between $0-27 million of the remaining net book value may be subject to accelerated depreciation.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China Operations</w:t>
      </w:r>
    </w:p>
    <w:p>
      <w:pPr>
        <w:spacing w:after="0" w:line="90" w:lineRule="exact"/>
        <w:rPr>
          <w:sz w:val="20"/>
          <w:szCs w:val="20"/>
          <w:color w:val="auto"/>
        </w:rPr>
      </w:pPr>
    </w:p>
    <w:p>
      <w:pPr>
        <w:ind w:right="1040" w:firstLine="405"/>
        <w:spacing w:after="0" w:line="277" w:lineRule="auto"/>
        <w:rPr>
          <w:sz w:val="20"/>
          <w:szCs w:val="20"/>
          <w:color w:val="auto"/>
        </w:rPr>
      </w:pPr>
      <w:r>
        <w:rPr>
          <w:rFonts w:ascii="Arial" w:cs="Arial" w:eastAsia="Arial" w:hAnsi="Arial"/>
          <w:sz w:val="18"/>
          <w:szCs w:val="18"/>
          <w:color w:val="auto"/>
        </w:rPr>
        <w:t>The total carrying value of our five facilities in China (one of which is currently under construction) was approximately $130 million as of September 30, 2016.</w:t>
      </w:r>
    </w:p>
    <w:p>
      <w:pPr>
        <w:spacing w:after="0" w:line="35" w:lineRule="exact"/>
        <w:rPr>
          <w:sz w:val="20"/>
          <w:szCs w:val="20"/>
          <w:color w:val="auto"/>
        </w:rPr>
      </w:pPr>
    </w:p>
    <w:p>
      <w:pPr>
        <w:ind w:right="400" w:firstLine="405"/>
        <w:spacing w:after="0" w:line="264" w:lineRule="auto"/>
        <w:rPr>
          <w:sz w:val="20"/>
          <w:szCs w:val="20"/>
          <w:color w:val="auto"/>
        </w:rPr>
      </w:pPr>
      <w:r>
        <w:rPr>
          <w:rFonts w:ascii="Arial" w:cs="Arial" w:eastAsia="Arial" w:hAnsi="Arial"/>
          <w:sz w:val="18"/>
          <w:szCs w:val="18"/>
          <w:color w:val="auto"/>
        </w:rPr>
        <w:t>If the Company is required to close a plant, or operate one at significantly reduced production levels on a permanent basis, the Company may be required to record charges that could have a material impact on its consolidated financial results of operations, financial position and cash flows in future periods.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9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Company has contingencies involving third parties (such as labor, contract, technology or product-related claims or litigation) as well as government-related items in various jurisdictions in which we operate pertaining to such items as value-added taxes, other indirect taxes, customs and duties and sales and use taxes. It is possible that cash flows or results of operations, in any period, could be materially affected by the unfavorable resolution of one or more of these contingencies.</w:t>
      </w:r>
    </w:p>
    <w:p>
      <w:pPr>
        <w:spacing w:after="0" w:line="133"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The most significant government-related contingencies exist in Brazil. With regard to the Brazilian matters, we believe we have valid defenses for the underlying positions under dispute; however, in order to pursue these defenses, we are required to, and have provided, bank guarantees and pledged assets in the aggregate amount of $29.7 million. The Brazilian matters take an extended period of time to proceed through the judicial process and there are a limited number of rulings to date.</w:t>
      </w:r>
    </w:p>
    <w:p>
      <w:pPr>
        <w:spacing w:after="0" w:line="133"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In March 2012, ZoomEssence, Inc. filed a complaint against the Company in the U.S. District Court for the District of New Jersey alleging trade secret misappropriation, breach of contract and unjust enrichment in connection with certain spray dry technology disclosed to the Company. ZoomEssence is seeking an injunction and monetary damages. ZoomEssence initially sought a temporary restraining order and preliminary injunction, but the Court denied these applications in an order entered on September 27, 2013, finding that ZoomEssence had not demonstrated a likelihood of success on the merits of its claims. On November 3, 2014, ZoomEssence amended its complaint against the Company to include allegations of breach of the duty of good faith and fair dealing, fraud in the inducement, and misappropriation of confidential and proprietary information. On November 13, 2014, the Company filed a counterclaim against ZoomEssence alleging trade secret misappropriation, breach of contract, breach of the implied covenant of good faith and fair dealing, unjust enrichment, misappropriation of confidential and proprietary information, common law unfair competition, tortious interference with contractual relations, and conversion. During the third quarter of 2016, the Court stayed the case and directed the parties to engage in mediation. The mediation, which took place in October 2016, did not result in a resolution of the litigation; we cannot reliably predict the timing of a trial, but it is expected that it would take place in 2017. Based on information available and expert assessment of potential exposure, the Company recorded an additional reserve of $25 million during the three months ended September 30, 2016.</w:t>
      </w:r>
    </w:p>
    <w:p>
      <w:pPr>
        <w:spacing w:after="0" w:line="126"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Company determines estimates of reasonably possible losses or ranges of reasonably possible losses in excess of related accrued liabilities, if any, when it has determined that either a loss is reasonably possible or a loss in excess of accrued amounts is reasonably possible and the amount of losses or range of losses is determinable. For all third party contingencies (including labor, contract, technology, tax, product-related claims and business litigation), the Company currently estimates that the aggregate range of reasonably possible losses in excess of any accrued liabilities is $0 to approximately $53 million. The estimates included in this amount are based on the Company’s analysis of currently available information and, as new information is obtained, these estimates may change. Due to the inherent subjectivity of the assessments and the unpredictability of outcomes of legal proceedings, any amounts accrued or included in this aggregate amount may not represent</w:t>
      </w: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2" w:right="239" w:bottom="1440" w:gutter="0" w:footer="0" w:header="0"/>
        </w:sectPr>
      </w:pPr>
    </w:p>
    <w:bookmarkStart w:id="18" w:name="page19"/>
    <w:bookmarkEnd w:id="18"/>
    <w:p>
      <w:pPr>
        <w:ind w:right="500"/>
        <w:spacing w:after="0" w:line="277" w:lineRule="auto"/>
        <w:rPr>
          <w:sz w:val="20"/>
          <w:szCs w:val="20"/>
          <w:color w:val="auto"/>
        </w:rPr>
      </w:pPr>
      <w:r>
        <w:rPr>
          <w:rFonts w:ascii="Arial" w:cs="Arial" w:eastAsia="Arial" w:hAnsi="Arial"/>
          <w:sz w:val="18"/>
          <w:szCs w:val="18"/>
          <w:color w:val="auto"/>
        </w:rPr>
        <w:t>the ultimate loss to the Company from the matters in question. Thus, the Company’s exposure and ultimate losses may be higher or lower, and possibly significantly so, than the amounts accrued or the range disclosed above.</w:t>
      </w:r>
    </w:p>
    <w:p>
      <w:pPr>
        <w:spacing w:after="0" w:line="116"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Separately, the Spanish tax authorities alleged claims for a capital tax and the Appellate Court rejected one of the two bases upon which we based our capital tax position. On January 22, 2014, we filed an appeal and in order to avoid future interest costs in the event our appeal was unsuccessful, we paid Euro 9.8 million ($11.2 million, representing the principal amount) during the first quarter of 2014. On February 24, 2016, we received a favorable ruling on our appeal from the Spanish Supreme Court which overruled a lower court ruling. As a result of this decision, we reversed the previously recorded provision of Euro 9.8 million ($10.5 million) for the year ended December 31, 2015. During 2016, we recorded additional income of $2.3 million related to the finalization of amounts received from the authorities. This amount has principally been reflected as a reduction of administrative expense.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On November 3, 2016, the Company entered into an agreement to acquire Fragrance Resources, a privately-held fragrance company with facilities in Germany, North America, France, and China. The transaction is expected to close in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746"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background</w:t>
      </w:r>
    </w:p>
    <w:p>
      <w:pPr>
        <w:spacing w:after="0" w:line="90"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create, manufacture and supply flavors and fragrances (including cosmetic active ingredients) that are used in the food, beverage, personal care and household products industries either in the form of compounds or individual ingredients, including cosmetic active ingredients. Our flavors and fragrance compounds combine a number of ingredients that are blended, mixed or reacted together to produce proprietary formulas created by our flavorists and perfumers.</w:t>
      </w:r>
    </w:p>
    <w:p>
      <w:pPr>
        <w:spacing w:after="0" w:line="133"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Flavors are the key building blocks that impart taste experiences in food and beverage products and, as such, play a significant role in determining consumer preference of the end products in which they are used. As a leading creator of flavors, we help our customers deliver on the promise of delicious and healthy foods and drinks that appeal to consumers. While we are a global leader, our flavors business is more regional in nature, with different formulas that reflect local taste preferences. Our flavors compounds are ultimately used by our customers in four end-use categories: (1) Savory, (2) Beverages, (3) Sweet and (4) Dairy.</w:t>
      </w:r>
    </w:p>
    <w:p>
      <w:pPr>
        <w:spacing w:after="0" w:line="13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231F20"/>
        </w:rPr>
        <w:t xml:space="preserve">We are a global leader in the creation of fragrance compounds that are integral elements in </w:t>
      </w:r>
      <w:r>
        <w:rPr>
          <w:rFonts w:ascii="Arial" w:cs="Arial" w:eastAsia="Arial" w:hAnsi="Arial"/>
          <w:sz w:val="17"/>
          <w:szCs w:val="17"/>
          <w:color w:val="000000"/>
        </w:rPr>
        <w:t>the world’s finest perfumes and best-known consumer</w:t>
      </w:r>
      <w:r>
        <w:rPr>
          <w:rFonts w:ascii="Arial" w:cs="Arial" w:eastAsia="Arial" w:hAnsi="Arial"/>
          <w:sz w:val="17"/>
          <w:szCs w:val="17"/>
          <w:color w:val="231F20"/>
        </w:rPr>
        <w:t xml:space="preserve"> </w:t>
      </w:r>
      <w:r>
        <w:rPr>
          <w:rFonts w:ascii="Arial" w:cs="Arial" w:eastAsia="Arial" w:hAnsi="Arial"/>
          <w:sz w:val="17"/>
          <w:szCs w:val="17"/>
          <w:color w:val="000000"/>
        </w:rPr>
        <w:t>products, within fabric care, home care, personal wash, hair care and toiletries products. Our Fragrances business consists of Fragrance Compounds and Fragrance Ingredients. Our Fragrance Compounds are defined into two broad categories, (1) Fine Fragrances and (2) Consumer Fragrances. Consumer Fragrances consists of five end-use categories of products: (1) Fabric Care, (2) Home Care, (3) Personal Wash, (4) Hair Care and (5) Toiletries. In addition, Fragrance Ingredients, which are included in the Fragrances business unit, consist of active and functional ingredients that are used internally and sold to third parties, including customers and competitors, for use in preparation of compounds, and cosmetic active ingredients.</w:t>
      </w:r>
    </w:p>
    <w:p>
      <w:pPr>
        <w:spacing w:after="0" w:line="124"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 xml:space="preserve">The flavors and fragrances market is part of a larger market which supplies a wide variety of ingredients and compounds that are used in consumer products. The broader market includes large multinational companies or smaller regional and local participants which supply products such as seasonings, texturizers, spices, enzymes, certain food-related commodities, fortified products and cosmetic active ingredients. </w:t>
      </w:r>
      <w:r>
        <w:rPr>
          <w:rFonts w:ascii="Arial" w:cs="Arial" w:eastAsia="Arial" w:hAnsi="Arial"/>
          <w:sz w:val="17"/>
          <w:szCs w:val="17"/>
          <w:color w:val="231F20"/>
        </w:rPr>
        <w:t>The global market for flavors and</w:t>
      </w:r>
      <w:r>
        <w:rPr>
          <w:rFonts w:ascii="Arial" w:cs="Arial" w:eastAsia="Arial" w:hAnsi="Arial"/>
          <w:sz w:val="17"/>
          <w:szCs w:val="17"/>
          <w:color w:val="auto"/>
        </w:rPr>
        <w:t xml:space="preserve"> </w:t>
      </w:r>
      <w:r>
        <w:rPr>
          <w:rFonts w:ascii="Arial" w:cs="Arial" w:eastAsia="Arial" w:hAnsi="Arial"/>
          <w:sz w:val="17"/>
          <w:szCs w:val="17"/>
          <w:color w:val="231F20"/>
        </w:rPr>
        <w:t xml:space="preserve">fragrances has expanded consistently, primarily as a result of an increase in demand for, as well as an increase in the variety of, consumer products containing flavors and fragrances. </w:t>
      </w:r>
      <w:r>
        <w:rPr>
          <w:rFonts w:ascii="Arial" w:cs="Arial" w:eastAsia="Arial" w:hAnsi="Arial"/>
          <w:sz w:val="17"/>
          <w:szCs w:val="17"/>
          <w:color w:val="000000"/>
        </w:rPr>
        <w:t>In 2014, the flavors and fragrances market, in which we compete, was estimated by management to be at least $18 billion and is</w:t>
      </w:r>
      <w:r>
        <w:rPr>
          <w:rFonts w:ascii="Arial" w:cs="Arial" w:eastAsia="Arial" w:hAnsi="Arial"/>
          <w:sz w:val="17"/>
          <w:szCs w:val="17"/>
          <w:color w:val="231F20"/>
        </w:rPr>
        <w:t xml:space="preserve"> </w:t>
      </w:r>
      <w:r>
        <w:rPr>
          <w:rFonts w:ascii="Arial" w:cs="Arial" w:eastAsia="Arial" w:hAnsi="Arial"/>
          <w:sz w:val="17"/>
          <w:szCs w:val="17"/>
          <w:color w:val="000000"/>
        </w:rPr>
        <w:t xml:space="preserve">forecasted to grow to approximately $21.6 billion by 2019, primarily driven by expected growth in emerging markets; however the exact size of the global market is not available due to fragmentation of data. </w:t>
      </w:r>
      <w:r>
        <w:rPr>
          <w:rFonts w:ascii="Arial" w:cs="Arial" w:eastAsia="Arial" w:hAnsi="Arial"/>
          <w:sz w:val="17"/>
          <w:szCs w:val="17"/>
          <w:color w:val="231F20"/>
        </w:rPr>
        <w:t>We estimate the market size for cosmetic active ingredients to be approximately $1.5 billion as of 2015.</w:t>
      </w:r>
      <w:r>
        <w:rPr>
          <w:rFonts w:ascii="Arial" w:cs="Arial" w:eastAsia="Arial" w:hAnsi="Arial"/>
          <w:sz w:val="17"/>
          <w:szCs w:val="17"/>
          <w:color w:val="000000"/>
        </w:rPr>
        <w:t xml:space="preserve"> We, together with the other top three companies, are estimated to represent approximately two-thirds of the total estimated sales in the global flavors and fragrances sub-segment of the broader market.</w:t>
      </w:r>
    </w:p>
    <w:p>
      <w:pPr>
        <w:spacing w:after="0" w:line="4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October 7, 2016, the Company completed the acquisition of 100% of the outstanding shares of David Michael &amp; Company, Inc. ("David Michael") for approximately $242 million. The purchase price was funded from existing resources. David Michael was acquired to strengthen the North American flavors business. This acquisition will be accounted for as a business combination and is not expected to have a material impact on the consolidated statement of comprehensive income for 2016.</w:t>
      </w:r>
    </w:p>
    <w:p>
      <w:pPr>
        <w:spacing w:after="0" w:line="214" w:lineRule="exact"/>
        <w:rPr>
          <w:sz w:val="20"/>
          <w:szCs w:val="20"/>
          <w:color w:val="auto"/>
        </w:rPr>
      </w:pPr>
    </w:p>
    <w:p>
      <w:pPr>
        <w:jc w:val="both"/>
        <w:ind w:right="300" w:firstLine="405"/>
        <w:spacing w:after="0" w:line="342" w:lineRule="auto"/>
        <w:rPr>
          <w:sz w:val="20"/>
          <w:szCs w:val="20"/>
          <w:color w:val="auto"/>
        </w:rPr>
      </w:pPr>
      <w:r>
        <w:rPr>
          <w:rFonts w:ascii="Arial" w:cs="Arial" w:eastAsia="Arial" w:hAnsi="Arial"/>
          <w:sz w:val="16"/>
          <w:szCs w:val="16"/>
          <w:color w:val="auto"/>
        </w:rPr>
        <w:t>During the second quarter of 2015, we completed the acquisition of Ottens Flavors, and in the third quarter of 2015, we completed the acquisition of Lucas Meyer. The acquisitions did not have a material impact on our consolidated statement of comprehensive income either individually or in aggregate.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Overview</w:t>
      </w:r>
    </w:p>
    <w:p>
      <w:pPr>
        <w:spacing w:after="0" w:line="171"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Net sales during the third quarter of 2016 increased 2% on a reported basis and 3% on a currency neutral basis (which excludes the effects of changes in currency), with the effect of the Lucas Meyer acquisition contributing approximately 1% to both reported and currency neutral basis growth rates. The currency neutral growth of 3% reflects new win performance (net of losses) in Flavors and Fragrance Compounds in addition to strong growth driven by the impact of acquisitions in Fragrance Ingredients and lower volume erosion on existing business in Flavors.</w:t>
      </w:r>
    </w:p>
    <w:p>
      <w:pPr>
        <w:spacing w:after="0" w:line="11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Exchange rate fluctuations had a 100 basis point (bps) unfavorable impact on net sales for the third quarter, due to the strengthening of the U.S. dollar. The effect of exchange rates can vary by business and region, depending upon the mix of sales by destination country as well as the relative percentage of local sales priced in U.S. dollars versus local currencies.</w:t>
      </w:r>
    </w:p>
    <w:p>
      <w:pPr>
        <w:spacing w:after="0" w:line="127"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Gross margins decreased year-over-year to 44.6% in the third quarter of 2016 from 45.4% in the 2015 period driven primarily by unfavorable mix, manufacturing performance and input costs which were only partially offset by cost savings and</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80" w:right="259" w:bottom="1440" w:gutter="0" w:footer="0" w:header="0"/>
        </w:sectPr>
      </w:pPr>
    </w:p>
    <w:bookmarkStart w:id="20" w:name="page21"/>
    <w:bookmarkEnd w:id="20"/>
    <w:p>
      <w:pPr>
        <w:ind w:right="20"/>
        <w:spacing w:after="0" w:line="255" w:lineRule="auto"/>
        <w:rPr>
          <w:sz w:val="20"/>
          <w:szCs w:val="20"/>
          <w:color w:val="auto"/>
        </w:rPr>
      </w:pPr>
      <w:r>
        <w:rPr>
          <w:rFonts w:ascii="Arial" w:cs="Arial" w:eastAsia="Arial" w:hAnsi="Arial"/>
          <w:sz w:val="18"/>
          <w:szCs w:val="18"/>
          <w:color w:val="auto"/>
        </w:rPr>
        <w:t>productivity initiatives. Included in the third quarter of 2016 was $1.0 million of restructuring costs and operational improvement initiative costs, compared to $2.7 million of costs associated with acquisition-related and operational improvement initiative costs included in the third quarter of 2015. Excluding these items, gross margin decreased 100 bps compared to the prior year period. The overall raw material cost base continues to be essentially benign. We believe that we will continue to see higher prices on certain categories (such as naturals including vanilla) that will be largely offset by benefits associated with oil-based derivatives that are expected to continue in 2016. We continue to seek improvements in our margins through operational performance, cost reduction efforts and mix enhancement.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PERFORMANCE 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Reported sales in the third quarter of 2016 increased approximately 2%. In currency neutral terms, sales increased 3%, reflecting new win performance in both Flavors and Fragrance Compounds, lower volume erosion on existing business in Flavors and the effect of the Lucas Meyer acquisition (which added approximately 1% to both reported and currency neutral basis amounts) in Fragrance Ingredients. We continue to benefit from our diverse portfolio of end-use product categories and geographies and had currency neutral growth in three of our four regions and all four of our end-use product categories. Flavors realized currency neutral growth of 3% for the third quarter of 2016, which was driven by new win performance and lower volume erosion on existing business. Our Fragrance business achieved currency neutral growth of 2%, driven primarily by strong growth within Fragrance Ingredients, which was driven entirely by the inclusion of acquisitions. Overall, our third quarter 2016 results include 5% growth from emerging markets and 2% growth from developed markets which represented 49% and 51% of currency neutral sales, respectively. From a geographic perspective, for the third quarter, North America (NOAM), Europe, Africa and the Middle East (EAME) and Greater Asia (GA) all delivered currency neutral growth in 2016, led by GA with 7%. Latin America (LA) sales declined 4% on a currency neutral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71"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Operating profit decreased $32.3 million to $124.3 million (16.0% of sales) in the 2016 third quarter compared to $156.7 million (20.5% of sales) in the comparable 2015 period. The third quarter of 2016 included $26.8 million of legal charges, acquisition-related, operational improvement initiative and restructuring costs compared to $7.1 million of acquisition-related and operational improvement initiative costs in the prior year period. Excluding these charges, adjusted operating profit was $151.1 million (19.4% of sales) for the third quarter of 2016, a decrease from $163.8 million (21.4% of sales) for the third quarter of 2015. Foreign currency changes had a 4% unfavorable impact on operating profit in the 2016 period compared to an unfavorable impact on operating profit of approximately 3% in the 2015 period versus the 2014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ind w:right="320" w:firstLine="405"/>
        <w:spacing w:after="0" w:line="308" w:lineRule="auto"/>
        <w:rPr>
          <w:sz w:val="20"/>
          <w:szCs w:val="20"/>
          <w:color w:val="auto"/>
        </w:rPr>
      </w:pPr>
      <w:r>
        <w:rPr>
          <w:rFonts w:ascii="Arial" w:cs="Arial" w:eastAsia="Arial" w:hAnsi="Arial"/>
          <w:sz w:val="17"/>
          <w:szCs w:val="17"/>
          <w:color w:val="auto"/>
        </w:rPr>
        <w:t>Other (income) expense, net increased $4.2 million to $2.2 million of income in the third quarter of 2016 compared to $2.0 million of expense in the third quarter of 2015. The year-over-year increase is primarily driven by favorable year-over-year foreign exchange gains in 2016.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Net income decreased by $16.7 million quarter-over-quarter to $89.8 million for the third quarter of 2016, driven by the factors discussed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71"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Cash flows from operations for the nine months ended September 30, 2016 were $329.4 million or 14.0% of sales, compared to cash inflow from operations of $294.7 million or 12.8% of sales for the nine months ended September 30, 2015. The increase in cash flows from operations in 2016 was principally driven by lower pension contributions and lower core working capital requirements (trade receivables, inventories and accounts payable) for the 2016 period as compared to the 2015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w w:val="95"/>
              </w:rPr>
              <w:t>Three Months Ended September 30,</w:t>
            </w:r>
          </w:p>
        </w:tc>
        <w:tc>
          <w:tcPr>
            <w:tcW w:w="1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4"/>
                <w:szCs w:val="14"/>
                <w:b w:val="1"/>
                <w:bCs w:val="1"/>
                <w:color w:val="auto"/>
                <w:w w:val="96"/>
              </w:rPr>
              <w:t>Nine Months Ended September 30,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880" w:type="dxa"/>
            <w:vAlign w:val="bottom"/>
            <w:gridSpan w:val="3"/>
          </w:tcPr>
          <w:p>
            <w:pPr>
              <w:ind w:left="40"/>
              <w:spacing w:after="0" w:line="143" w:lineRule="exact"/>
              <w:rPr>
                <w:sz w:val="20"/>
                <w:szCs w:val="20"/>
                <w:color w:val="auto"/>
              </w:rPr>
            </w:pPr>
            <w:r>
              <w:rPr>
                <w:rFonts w:ascii="Arial" w:cs="Arial" w:eastAsia="Arial" w:hAnsi="Arial"/>
                <w:sz w:val="14"/>
                <w:szCs w:val="14"/>
                <w:b w:val="1"/>
                <w:bCs w:val="1"/>
                <w:i w:val="1"/>
                <w:iCs w:val="1"/>
                <w:color w:val="auto"/>
              </w:rPr>
              <w:t>(DOLLARS IN THOUSANDS</w:t>
            </w:r>
          </w:p>
        </w:tc>
        <w:tc>
          <w:tcPr>
            <w:tcW w:w="180" w:type="dxa"/>
            <w:vAlign w:val="bottom"/>
          </w:tcPr>
          <w:p>
            <w:pPr>
              <w:spacing w:after="0"/>
              <w:rPr>
                <w:sz w:val="12"/>
                <w:szCs w:val="12"/>
                <w:color w:val="auto"/>
              </w:rPr>
            </w:pPr>
          </w:p>
        </w:tc>
        <w:tc>
          <w:tcPr>
            <w:tcW w:w="11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11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2"/>
                <w:szCs w:val="12"/>
                <w:color w:val="auto"/>
              </w:rPr>
            </w:pPr>
          </w:p>
        </w:tc>
        <w:tc>
          <w:tcPr>
            <w:tcW w:w="11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10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388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i w:val="1"/>
                <w:iCs w:val="1"/>
                <w:color w:val="auto"/>
              </w:rPr>
              <w:t>EXCEPT PER SHARE AMOUNTS)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777,001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765,092</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2 %</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2,353,790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2,307,540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430,733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417,966</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3 %</w:t>
            </w:r>
          </w:p>
        </w:tc>
        <w:tc>
          <w:tcPr>
            <w:tcW w:w="2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1,281,673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1,269,097</w:t>
            </w:r>
          </w:p>
        </w:tc>
        <w:tc>
          <w:tcPr>
            <w:tcW w:w="100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346,268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347,126</w:t>
            </w: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1,072,117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1,038,443</w:t>
            </w: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Research and development (R&amp;D) expenses</w:t>
            </w:r>
          </w:p>
        </w:tc>
        <w:tc>
          <w:tcPr>
            <w:tcW w:w="18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64,415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62,750</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3 %</w:t>
            </w:r>
          </w:p>
        </w:tc>
        <w:tc>
          <w:tcPr>
            <w:tcW w:w="2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191,052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188,725</w:t>
            </w:r>
          </w:p>
        </w:tc>
        <w:tc>
          <w:tcPr>
            <w:tcW w:w="100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and administrative (S&amp;A)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152,046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122,249</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24 %</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408,372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372,267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Amortization of acquisition-related intangibles</w:t>
            </w:r>
          </w:p>
        </w:tc>
        <w:tc>
          <w:tcPr>
            <w:tcW w:w="18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5,468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5,414</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1 %</w:t>
            </w:r>
          </w:p>
        </w:tc>
        <w:tc>
          <w:tcPr>
            <w:tcW w:w="2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16,659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10,293</w:t>
            </w:r>
          </w:p>
        </w:tc>
        <w:tc>
          <w:tcPr>
            <w:tcW w:w="1000" w:type="dxa"/>
            <w:vAlign w:val="bottom"/>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124,339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156,713</w:t>
            </w:r>
          </w:p>
        </w:tc>
        <w:tc>
          <w:tcPr>
            <w:tcW w:w="1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456,034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467,328</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13,111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11,855</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11 %</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40,649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34,357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1,959</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(4,952)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(3,315)</w:t>
            </w:r>
          </w:p>
        </w:tc>
        <w:tc>
          <w:tcPr>
            <w:tcW w:w="1000" w:type="dxa"/>
            <w:vAlign w:val="bottom"/>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113,390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142,899</w:t>
            </w: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420,337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436,286</w:t>
            </w: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Taxes on income</w:t>
            </w:r>
          </w:p>
        </w:tc>
        <w:tc>
          <w:tcPr>
            <w:tcW w:w="18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23,613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36,452</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95,223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96,206</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89,777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106,447</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325,114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340,080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880" w:type="dxa"/>
            <w:vAlign w:val="bottom"/>
            <w:gridSpan w:val="3"/>
            <w:vMerge w:val="restart"/>
          </w:tcPr>
          <w:p>
            <w:pPr>
              <w:ind w:left="40"/>
              <w:spacing w:after="0"/>
              <w:rPr>
                <w:sz w:val="20"/>
                <w:szCs w:val="20"/>
                <w:color w:val="auto"/>
              </w:rPr>
            </w:pPr>
            <w:r>
              <w:rPr>
                <w:rFonts w:ascii="Arial" w:cs="Arial" w:eastAsia="Arial" w:hAnsi="Arial"/>
                <w:sz w:val="18"/>
                <w:szCs w:val="18"/>
                <w:color w:val="auto"/>
              </w:rPr>
              <w:t>Diluted EPS</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80" w:type="dxa"/>
            <w:vAlign w:val="bottom"/>
            <w:gridSpan w:val="3"/>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1.31</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4.18</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1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(80)</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R&amp;D as a percentage of sales</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1120" w:type="dxa"/>
            <w:vAlign w:val="bottom"/>
          </w:tcPr>
          <w:p>
            <w:pPr>
              <w:jc w:val="right"/>
              <w:ind w:right="271"/>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S&amp;A as a percentage of sales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1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360</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Operating margin</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i w:val="1"/>
                <w:iCs w:val="1"/>
                <w:color w:val="auto"/>
              </w:rPr>
              <w:t xml:space="preserve">Adjusted operating margin </w:t>
            </w:r>
            <w:r>
              <w:rPr>
                <w:rFonts w:ascii="Arial" w:cs="Arial" w:eastAsia="Arial" w:hAnsi="Arial"/>
                <w:sz w:val="25"/>
                <w:szCs w:val="25"/>
                <w:i w:val="1"/>
                <w:iCs w:val="1"/>
                <w:color w:val="auto"/>
                <w:vertAlign w:val="superscript"/>
              </w:rPr>
              <w:t>(1)</w:t>
            </w: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21.4%</w:t>
            </w: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i w:val="1"/>
                <w:iCs w:val="1"/>
                <w:color w:val="auto"/>
              </w:rPr>
              <w:t>(200)</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20.6%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20.9%</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i w:val="1"/>
                <w:iCs w:val="1"/>
                <w:color w:val="auto"/>
              </w:rPr>
              <w:t>(30)</w:t>
            </w:r>
          </w:p>
        </w:tc>
        <w:tc>
          <w:tcPr>
            <w:tcW w:w="0" w:type="dxa"/>
            <w:vAlign w:val="bottom"/>
          </w:tcPr>
          <w:p>
            <w:pPr>
              <w:spacing w:after="0"/>
              <w:rPr>
                <w:sz w:val="1"/>
                <w:szCs w:val="1"/>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Effective tax rate</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(470)</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Segment net sales</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auto"/>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Flavors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366,857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359,103</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1,118,869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1,108,689</w:t>
            </w:r>
          </w:p>
        </w:tc>
        <w:tc>
          <w:tcPr>
            <w:tcW w:w="100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Fragrances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410,144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405,989</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1 %</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1,234,921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1,198,851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7"/>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Consolidated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777,001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765,092</w:t>
            </w:r>
          </w:p>
        </w:tc>
        <w:tc>
          <w:tcPr>
            <w:tcW w:w="1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2,353,790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2,307,540</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40" w:right="20" w:hanging="316"/>
        <w:spacing w:after="0" w:line="255"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operating margin excludes $26.8 million consisting of legal charges, acquisition-related, operational improvement initiative and restructuring costs for the three months ended September 30, 2016 and excludes $7.1 million acquisition-related and operational improvement initiative costs for the three months ended September 30, 2015. For the nine months ended September 30, 2016, adjusted operating margin excludes $27.9 million of legal charges, acquisition-related, operational improvement initiative and restructuring costs which were partially offset by the benefit of the Spanish capital tax settlement compared to the exclusion of $14.6 million of acquisition-related, restructuring and other charges, net and operational improvement initiative costs during the comparable 2015 period.</w:t>
      </w:r>
    </w:p>
    <w:p>
      <w:pPr>
        <w:spacing w:after="0" w:line="139"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Cost of goods sold includes the cost of materials and manufacturing expenses. R&amp;D expenses relate to the development of new and improved products, technical product support and compliance with governmental regulations. S&amp;A expenses include expenses necessary to support our commercial activities and administrative expenses supporting our overall operating activities.</w:t>
      </w:r>
    </w:p>
    <w:p>
      <w:pPr>
        <w:spacing w:after="0" w:line="177" w:lineRule="exact"/>
        <w:rPr>
          <w:sz w:val="20"/>
          <w:szCs w:val="20"/>
          <w:color w:val="auto"/>
        </w:rPr>
      </w:pPr>
    </w:p>
    <w:p>
      <w:pPr>
        <w:ind w:right="5680"/>
        <w:spacing w:after="0" w:line="346" w:lineRule="auto"/>
        <w:rPr>
          <w:sz w:val="20"/>
          <w:szCs w:val="20"/>
          <w:color w:val="auto"/>
        </w:rPr>
      </w:pPr>
      <w:r>
        <w:rPr>
          <w:rFonts w:ascii="Arial" w:cs="Arial" w:eastAsia="Arial" w:hAnsi="Arial"/>
          <w:sz w:val="18"/>
          <w:szCs w:val="18"/>
          <w:b w:val="1"/>
          <w:bCs w:val="1"/>
          <w:u w:val="single" w:color="auto"/>
          <w:color w:val="auto"/>
        </w:rPr>
        <w:t xml:space="preserve">THIRD QUARTER 2016 IN COMPARISON TO THIRD QUARTER 2015 </w:t>
      </w:r>
      <w:r>
        <w:rPr>
          <w:rFonts w:ascii="Arial" w:cs="Arial" w:eastAsia="Arial" w:hAnsi="Arial"/>
          <w:sz w:val="18"/>
          <w:szCs w:val="18"/>
          <w:b w:val="1"/>
          <w:bCs w:val="1"/>
          <w:color w:val="auto"/>
        </w:rPr>
        <w:t>Sales</w:t>
      </w:r>
    </w:p>
    <w:p>
      <w:pPr>
        <w:spacing w:after="0" w:line="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Sales for the third quarter of 2016 totaled $777.0 million, an increase of 2% from the prior year quarter. On a currency neutral basis sales increased 3%, as a result of new win performance in both Flavors and Fragrance Compounds, in addition to strong growth in Fragrance Ingredients (driven by the impact of acquisitions) and lower volume erosion on existing business in Flavors. On both a reported and currency neutral basis, the effect of the Lucas Meyer acquisition was approximately 1% to net sales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2" w:right="239" w:bottom="1440" w:gutter="0" w:footer="0" w:header="0"/>
        </w:sectPr>
      </w:pPr>
    </w:p>
    <w:bookmarkStart w:id="22" w:name="page23"/>
    <w:bookmarkEnd w:id="22"/>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90"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Flavors reported sales increased 2% from the prior year period while currency neutral sales increased 3% during the third quarter of 2016 compared to the 2015 period, which reflects new win performance and lower volume erosion on existing business. The currency neutral increase was due to mid single-digit growth in three of four end-use categories. The Flavors business delivered currency neutral growth in EAME and LA and GA, led by LA. Sales in LA were led by double-digit gains in Savory, Sweet and Dairy. EAME sales were driven by double-digit gains in Savory and Sweet, which were only partially offset by high single-digit declines in Beverage. Sales in GA were driven by double-digit gains in Beverage and low single-digit gains in Savory. NOAM sales declines were driven by high single-digit declines in Beverage.</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90"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The Fragrances business sales increased of 1% on a reported basis and 2% on a currency neutral basis for the third quarter of 2016 compared to the third quarter of 2015. Acquisitions accounted for substantially all of the growth on a reported basis and accounted for approximately half of the growth on a currency neutral basis. The overall currency neutral increase was primarily driven by high single-digit growth in Fragrance Ingredients, which is driven substantially by the inclusion of acquisitions, in addition to mid single-digit growth in Fabric Care and Personal Wash. Excluding the effects of acquisitions, Fragrance Ingredients sales increased low single-digits on a currency neutral basis.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Performance by Region and Category</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960" w:type="dxa"/>
            <w:vAlign w:val="bottom"/>
            <w:tcBorders>
              <w:bottom w:val="single" w:sz="8" w:color="auto"/>
            </w:tcBorders>
            <w:gridSpan w:val="7"/>
          </w:tcPr>
          <w:p>
            <w:pPr>
              <w:ind w:left="940"/>
              <w:spacing w:after="0"/>
              <w:rPr>
                <w:sz w:val="20"/>
                <w:szCs w:val="20"/>
                <w:color w:val="auto"/>
              </w:rPr>
            </w:pPr>
            <w:r>
              <w:rPr>
                <w:rFonts w:ascii="Arial" w:cs="Arial" w:eastAsia="Arial" w:hAnsi="Arial"/>
                <w:sz w:val="14"/>
                <w:szCs w:val="14"/>
                <w:b w:val="1"/>
                <w:bCs w:val="1"/>
                <w:color w:val="auto"/>
                <w:w w:val="96"/>
              </w:rPr>
              <w:t>% Change in Sales - Third Quarter 2016 vs. Third Quarter 2015</w:t>
            </w: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Fine Fragrances</w:t>
            </w:r>
          </w:p>
        </w:tc>
        <w:tc>
          <w:tcPr>
            <w:tcW w:w="152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Consumer</w:t>
            </w:r>
          </w:p>
        </w:tc>
        <w:tc>
          <w:tcPr>
            <w:tcW w:w="15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Ingredients</w:t>
            </w:r>
          </w:p>
        </w:tc>
        <w:tc>
          <w:tcPr>
            <w:tcW w:w="192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Total Frag.</w:t>
            </w: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Flavors</w:t>
            </w:r>
          </w:p>
        </w:tc>
        <w:tc>
          <w:tcPr>
            <w:tcW w:w="12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tcPr>
          <w:p>
            <w:pPr>
              <w:ind w:left="360"/>
              <w:spacing w:after="0"/>
              <w:rPr>
                <w:sz w:val="20"/>
                <w:szCs w:val="20"/>
                <w:color w:val="auto"/>
              </w:rPr>
            </w:pPr>
            <w:r>
              <w:rPr>
                <w:rFonts w:ascii="Arial" w:cs="Arial" w:eastAsia="Arial" w:hAnsi="Arial"/>
                <w:sz w:val="14"/>
                <w:szCs w:val="14"/>
                <w:b w:val="1"/>
                <w:bCs w:val="1"/>
                <w:color w:val="auto"/>
              </w:rPr>
              <w:t>Fragrances</w:t>
            </w:r>
          </w:p>
        </w:tc>
        <w:tc>
          <w:tcPr>
            <w:tcW w:w="1520" w:type="dxa"/>
            <w:vAlign w:val="bottom"/>
            <w:gridSpan w:val="2"/>
            <w:vMerge w:val="continue"/>
          </w:tcPr>
          <w:p>
            <w:pPr>
              <w:spacing w:after="0"/>
              <w:rPr>
                <w:sz w:val="16"/>
                <w:szCs w:val="16"/>
                <w:color w:val="auto"/>
              </w:rPr>
            </w:pPr>
          </w:p>
        </w:tc>
        <w:tc>
          <w:tcPr>
            <w:tcW w:w="1920" w:type="dxa"/>
            <w:vAlign w:val="bottom"/>
            <w:gridSpan w:val="3"/>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5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NOAM Reported</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43"/>
        </w:trPr>
        <w:tc>
          <w:tcPr>
            <w:tcW w:w="2560" w:type="dxa"/>
            <w:vAlign w:val="bottom"/>
            <w:gridSpan w:val="2"/>
          </w:tcPr>
          <w:p>
            <w:pPr>
              <w:ind w:left="40"/>
              <w:spacing w:after="0"/>
              <w:rPr>
                <w:sz w:val="20"/>
                <w:szCs w:val="20"/>
                <w:color w:val="auto"/>
              </w:rPr>
            </w:pPr>
            <w:r>
              <w:rPr>
                <w:rFonts w:ascii="Arial" w:cs="Arial" w:eastAsia="Arial" w:hAnsi="Arial"/>
                <w:sz w:val="18"/>
                <w:szCs w:val="18"/>
                <w:b w:val="1"/>
                <w:bCs w:val="1"/>
                <w:color w:val="auto"/>
              </w:rPr>
              <w:t>EAME Reported</w:t>
            </w:r>
          </w:p>
        </w:tc>
        <w:tc>
          <w:tcPr>
            <w:tcW w:w="1400" w:type="dxa"/>
            <w:vAlign w:val="bottom"/>
          </w:tcPr>
          <w:p>
            <w:pPr>
              <w:ind w:left="1000"/>
              <w:spacing w:after="0"/>
              <w:rPr>
                <w:sz w:val="20"/>
                <w:szCs w:val="20"/>
                <w:color w:val="auto"/>
              </w:rPr>
            </w:pPr>
            <w:r>
              <w:rPr>
                <w:rFonts w:ascii="Arial" w:cs="Arial" w:eastAsia="Arial" w:hAnsi="Arial"/>
                <w:sz w:val="18"/>
                <w:szCs w:val="18"/>
                <w:b w:val="1"/>
                <w:bCs w:val="1"/>
                <w:color w:val="auto"/>
              </w:rPr>
              <w:t>-5 %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0 %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ind w:left="1000"/>
              <w:spacing w:after="0"/>
              <w:rPr>
                <w:sz w:val="20"/>
                <w:szCs w:val="20"/>
                <w:color w:val="auto"/>
              </w:rPr>
            </w:pPr>
            <w:r>
              <w:rPr>
                <w:rFonts w:ascii="Arial" w:cs="Arial" w:eastAsia="Arial" w:hAnsi="Arial"/>
                <w:sz w:val="18"/>
                <w:szCs w:val="18"/>
                <w:b w:val="1"/>
                <w:bCs w:val="1"/>
                <w:i w:val="1"/>
                <w:iCs w:val="1"/>
                <w:color w:val="auto"/>
              </w:rPr>
              <w:t>-5 %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0 %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LA</w:t>
            </w:r>
          </w:p>
        </w:tc>
        <w:tc>
          <w:tcPr>
            <w:tcW w:w="202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00" w:type="dxa"/>
            <w:vAlign w:val="bottom"/>
          </w:tcPr>
          <w:p>
            <w:pPr>
              <w:ind w:left="1000"/>
              <w:spacing w:after="0"/>
              <w:rPr>
                <w:sz w:val="20"/>
                <w:szCs w:val="20"/>
                <w:color w:val="auto"/>
              </w:rPr>
            </w:pPr>
            <w:r>
              <w:rPr>
                <w:rFonts w:ascii="Arial" w:cs="Arial" w:eastAsia="Arial" w:hAnsi="Arial"/>
                <w:sz w:val="18"/>
                <w:szCs w:val="18"/>
                <w:b w:val="1"/>
                <w:bCs w:val="1"/>
                <w:color w:val="auto"/>
              </w:rPr>
              <w:t>-6 %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-12 %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-26 %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-12 %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ind w:left="1000"/>
              <w:spacing w:after="0"/>
              <w:rPr>
                <w:sz w:val="20"/>
                <w:szCs w:val="20"/>
                <w:color w:val="auto"/>
              </w:rPr>
            </w:pPr>
            <w:r>
              <w:rPr>
                <w:rFonts w:ascii="Arial" w:cs="Arial" w:eastAsia="Arial" w:hAnsi="Arial"/>
                <w:sz w:val="18"/>
                <w:szCs w:val="18"/>
                <w:b w:val="1"/>
                <w:bCs w:val="1"/>
                <w:i w:val="1"/>
                <w:iCs w:val="1"/>
                <w:color w:val="auto"/>
              </w:rPr>
              <w:t>-3 %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-24 %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-9 %</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GA</w:t>
            </w:r>
          </w:p>
        </w:tc>
        <w:tc>
          <w:tcPr>
            <w:tcW w:w="202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15 %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22 %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18 %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10 %</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2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00" w:type="dxa"/>
            <w:vAlign w:val="bottom"/>
          </w:tcPr>
          <w:p>
            <w:pPr>
              <w:ind w:left="1000"/>
              <w:spacing w:after="0"/>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0 %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ind w:left="1000"/>
              <w:spacing w:after="0"/>
              <w:rPr>
                <w:sz w:val="20"/>
                <w:szCs w:val="20"/>
                <w:color w:val="auto"/>
              </w:rPr>
            </w:pPr>
            <w:r>
              <w:rPr>
                <w:rFonts w:ascii="Arial" w:cs="Arial" w:eastAsia="Arial" w:hAnsi="Arial"/>
                <w:sz w:val="18"/>
                <w:szCs w:val="18"/>
                <w:b w:val="1"/>
                <w:bCs w:val="1"/>
                <w:i w:val="1"/>
                <w:iCs w:val="1"/>
                <w:color w:val="auto"/>
              </w:rPr>
              <w:t>-3 %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neutral sales growth is calculated by translating prior year sales at the exchange rates for the corresponding 2016 period.</w:t>
      </w:r>
    </w:p>
    <w:p>
      <w:pPr>
        <w:spacing w:after="0" w:line="210" w:lineRule="exact"/>
        <w:rPr>
          <w:rFonts w:ascii="Arial" w:cs="Arial" w:eastAsia="Arial" w:hAnsi="Arial"/>
          <w:sz w:val="18"/>
          <w:szCs w:val="18"/>
          <w:color w:val="auto"/>
        </w:rPr>
      </w:pPr>
    </w:p>
    <w:p>
      <w:pPr>
        <w:ind w:left="660" w:right="40" w:hanging="328"/>
        <w:spacing w:after="0" w:line="288" w:lineRule="auto"/>
        <w:tabs>
          <w:tab w:leader="none" w:pos="6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NOAM Flavors sales decreased 1% primarily due to high single-digit declines in Beverage that were only partially offset by low single-digit growth in Sweet. NOAM Fragrance sales increased 6% principally due to double-digit gains in Fragrance Ingredients (which included the impact of acquisitions) and Fabric Care as well as low single-digit growth in Fine Fragrances, which was partially offset by double-digit declines in Hair Care.</w:t>
      </w:r>
    </w:p>
    <w:p>
      <w:pPr>
        <w:ind w:left="660" w:right="320" w:hanging="328"/>
        <w:spacing w:after="0" w:line="250"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EAME Flavors currency neutral sales increased 5% primarily due to double-digit gains in Savory and Sweet, which were only partially offset by high single-digit declines in Beverage. EAME Fragrance currency neutral sales increased 1% overall, driven mainly by double-digit growth in Fragrance Ingredients (which included the impact of acquisitions) and Hair Care, which more than offset mid to low single-digit declines in Fine Fragrances, Fabric Care and Personal Wash.</w:t>
      </w:r>
    </w:p>
    <w:p>
      <w:pPr>
        <w:spacing w:after="0" w:line="1" w:lineRule="exact"/>
        <w:rPr>
          <w:rFonts w:ascii="Arial" w:cs="Arial" w:eastAsia="Arial" w:hAnsi="Arial"/>
          <w:sz w:val="18"/>
          <w:szCs w:val="18"/>
          <w:color w:val="auto"/>
        </w:rPr>
      </w:pPr>
    </w:p>
    <w:p>
      <w:pPr>
        <w:ind w:left="660" w:right="260" w:hanging="328"/>
        <w:spacing w:after="0" w:line="250"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LA Flavors currency neutral sales increased 7% driven by double-digit gains in Savory, Sweet and Dairy. LA Fragrances currency neutral sales decreased 9% overall, principally driven by double-digit declines in Fragrance Ingredients, Toiletries and Hair Care as well as mid to high single-digit declines in Fabric Care and Home Care.</w:t>
      </w:r>
    </w:p>
    <w:p>
      <w:pPr>
        <w:spacing w:after="0" w:line="1" w:lineRule="exact"/>
        <w:rPr>
          <w:rFonts w:ascii="Arial" w:cs="Arial" w:eastAsia="Arial" w:hAnsi="Arial"/>
          <w:sz w:val="18"/>
          <w:szCs w:val="18"/>
          <w:color w:val="auto"/>
        </w:rPr>
      </w:pPr>
    </w:p>
    <w:p>
      <w:pPr>
        <w:jc w:val="both"/>
        <w:ind w:left="660" w:hanging="328"/>
        <w:spacing w:after="0" w:line="277"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GA Flavors currency neutral sales increased 5% from the prior year period driven by double-digit growth in Beverage and Dairy and low single-digit growth in Savory. GA Fragrances currency neutral sales growth of 10% was principally driven by double-digit gains in Fragrance Ingredients (which included the impact of acquisitions) Personal Wash and Home Care as well as high single-digit gains in Fabric Care.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Goods Sold</w:t>
      </w:r>
    </w:p>
    <w:p>
      <w:pPr>
        <w:spacing w:after="0" w:line="94"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Cost of goods sold, as a percentage of sales, increased 80 bps to 55.4% in the third quarter of 2016 compared to 54.6% in the third quarter of 2015, principally driven by unfavorable mix, manufacturing performance and input costs which were only partially offset by cost savings and productivity initiatives. Included in cost of goods sold was $1.0 million of restructuring and</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827"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operational improvement costs in 2016 compared to $2.7 million of acquisition-related and operational improvement initiative costs in 2015.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 Expenses</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Overall R&amp;D expenses, as a percentage of sales, increased slightly compared to the prior year period at 8.3% in the third quarter of 2016 versus 8.2% in the third quarter of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(S&amp;A) Expenses</w:t>
      </w:r>
    </w:p>
    <w:p>
      <w:pPr>
        <w:spacing w:after="0" w:line="9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S&amp;A expenses increased $29.8 million to $152.0 million or 19.6%, as a percentage of sales, in the third quarter of 2016 compared to 16.0% in the third quarter of 2015. The $29.8 million increase was principally due to costs associated with S&amp;A expenses of acquired entities as well as strategic investments, compliance and litigation-related costs that are expected to continue in the fourth quarter and approximately $25.8 million of legal charges and acquisition-related costs in 2016. Excluding the $25.8 million of legal charges and acquisition-related costs included in 2016 and the $4.4 million of acquisition-related costs in 2015, adjusted S&amp;A expenses increased by $8.4 million and was 16.2% of sales in 2016 compared to 15.4% in 2015.</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Acquisition-Related Intangibles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Amortization expenses remained consistent at $5.5 million in the third quarter of 2016 compared to $5.4 million in the third quarter of 2015.</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94"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We evaluate the performance of business units based on segment profit which is defined as operating profit before Restructuring and other charges, net, Global expenses (as discussed in Note 9 to the Consolidated Financial Statements) and certain non-recurring items, net, Interest expense, Other (expense) income, net and Taxes on income. See Note 9 to the Consolidated Financial Statements for the reconciliation to Income before taxes.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Flavors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77,512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79,803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85,010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90,893</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Global expenses</w:t>
            </w:r>
          </w:p>
        </w:tc>
        <w:tc>
          <w:tcPr>
            <w:tcW w:w="360" w:type="dxa"/>
            <w:vAlign w:val="bottom"/>
          </w:tcPr>
          <w:p>
            <w:pPr>
              <w:spacing w:after="0"/>
              <w:rPr>
                <w:sz w:val="21"/>
                <w:szCs w:val="21"/>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(11,405)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(6,874)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Acquisition and related costs</w:t>
            </w:r>
          </w:p>
        </w:tc>
        <w:tc>
          <w:tcPr>
            <w:tcW w:w="360" w:type="dxa"/>
            <w:vAlign w:val="bottom"/>
          </w:tcPr>
          <w:p>
            <w:pPr>
              <w:spacing w:after="0"/>
              <w:rPr>
                <w:sz w:val="21"/>
                <w:szCs w:val="21"/>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(6,830)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improvement initiative costs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Legal charge</w:t>
            </w:r>
          </w:p>
        </w:tc>
        <w:tc>
          <w:tcPr>
            <w:tcW w:w="360" w:type="dxa"/>
            <w:vAlign w:val="bottom"/>
          </w:tcPr>
          <w:p>
            <w:pPr>
              <w:spacing w:after="0"/>
              <w:rPr>
                <w:sz w:val="21"/>
                <w:szCs w:val="21"/>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124,339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156,713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Profit margin: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Flavors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Fragrances</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7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Segment Profit</w:t>
      </w:r>
    </w:p>
    <w:p>
      <w:pPr>
        <w:spacing w:after="0" w:line="90"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Flavors segment profit decreased to $77.5 million in the third quarter of 2016, or 21.1% as a percentage of sales, compared to $79.8 million, or 22.2% as a percentage of sales, in the comparable 2015 period. The decrease principally reflects unfavorable mix, input costs and increased S&amp;A which were only partially offset by cost savings and productivity initiatives.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Fragrances Segment Profit</w:t>
      </w:r>
    </w:p>
    <w:p>
      <w:pPr>
        <w:spacing w:after="0" w:line="90"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Fragrances segment profit decreased approximately 6.5% to $85.0 million in the third quarter of 2016, or 20.7% as a percentage of sales, compared to $90.9 million, or 22.4% as a percentage of sales, in the comparable 2015 period. The decrease in segment profit and profit margin was primarily due to unfavorable mix, manufacturing performance and increased S&amp;A which were only partially offset by cost savings and productivity initiatives.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665" w:right="259" w:bottom="1440" w:gutter="0" w:footer="0" w:header="0"/>
        </w:sectPr>
      </w:pPr>
    </w:p>
    <w:bookmarkStart w:id="24" w:name="page25"/>
    <w:bookmarkEnd w:id="24"/>
    <w:p>
      <w:pPr>
        <w:ind w:left="260"/>
        <w:spacing w:after="0"/>
        <w:rPr>
          <w:sz w:val="20"/>
          <w:szCs w:val="20"/>
          <w:color w:val="auto"/>
        </w:rPr>
      </w:pPr>
      <w:r>
        <w:rPr>
          <w:rFonts w:ascii="Arial" w:cs="Arial" w:eastAsia="Arial" w:hAnsi="Arial"/>
          <w:sz w:val="18"/>
          <w:szCs w:val="18"/>
          <w:b w:val="1"/>
          <w:bCs w:val="1"/>
          <w:i w:val="1"/>
          <w:iCs w:val="1"/>
          <w:color w:val="auto"/>
        </w:rPr>
        <w:t>Global Expenses</w:t>
      </w:r>
    </w:p>
    <w:p>
      <w:pPr>
        <w:spacing w:after="0" w:line="90"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Global expenses represent corporate and headquarters-related expenses which include legal, finance, human resources and R&amp;D and other administrative expenses that are not allocated to an individual business unit. In the third quarter of 2016, Global expenses were $11.4 million compared to $6.9 million during the third quarter of 2015. The increase was principally driven by lower favorable impact from the cash flow hedging program in the current year.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Interest expense increased $1.2 million to $13.1 million in the third quarter of 2016 compared to $11.9 million in the 2015 period reflecting the impact of borrowings under the Euro Senior Notes - 2016. Average cost of debt was 3.7% for the 2016 period compared to 4.3% for the 2015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ind w:right="480" w:firstLine="432"/>
        <w:spacing w:after="0" w:line="308" w:lineRule="auto"/>
        <w:rPr>
          <w:sz w:val="20"/>
          <w:szCs w:val="20"/>
          <w:color w:val="auto"/>
        </w:rPr>
      </w:pPr>
      <w:r>
        <w:rPr>
          <w:rFonts w:ascii="Arial" w:cs="Arial" w:eastAsia="Arial" w:hAnsi="Arial"/>
          <w:sz w:val="17"/>
          <w:szCs w:val="17"/>
          <w:color w:val="auto"/>
        </w:rPr>
        <w:t>Other (income) expense, net increased by approximately $4.2 million to $2.2 million of income in the third quarter of 2016 versus $2.0 million of expense in the comparable 2015 period. The year-over-year increase is primarily driven by higher foreign exchange gains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effective tax rate for the three months ended September 30, 2016 was 20.8% compared with 25.5% for the three months ended September 30, 2015. The quarter-over-quarter decrease is largely due to favorable mix of earnings and a lower cost of repatriation, partially offset by higher loss provisions in 2016. Excluding the $9.3 million tax benefit associated with the pretax legal charge, acquisition-related, operational improvement initiatives and restructuring costs included in the current quarter, the third quarter 2016 adjusted effective tax rate was 23.5%, or 140 bps lower than the third quarter 2015 adjusted effective tax rate of 24.9%. The 2015 adjusted effective tax rate excluded $0.9 million of tax benefit associated with the pretax acquisition-related and operational improvement initiative costs.</w:t>
      </w:r>
    </w:p>
    <w:p>
      <w:pPr>
        <w:spacing w:after="0" w:line="270" w:lineRule="exact"/>
        <w:rPr>
          <w:sz w:val="20"/>
          <w:szCs w:val="20"/>
          <w:color w:val="auto"/>
        </w:rPr>
      </w:pPr>
    </w:p>
    <w:p>
      <w:pPr>
        <w:ind w:right="4700"/>
        <w:spacing w:after="0" w:line="346" w:lineRule="auto"/>
        <w:rPr>
          <w:sz w:val="20"/>
          <w:szCs w:val="20"/>
          <w:color w:val="auto"/>
        </w:rPr>
      </w:pPr>
      <w:r>
        <w:rPr>
          <w:rFonts w:ascii="Arial" w:cs="Arial" w:eastAsia="Arial" w:hAnsi="Arial"/>
          <w:sz w:val="18"/>
          <w:szCs w:val="18"/>
          <w:b w:val="1"/>
          <w:bCs w:val="1"/>
          <w:u w:val="single" w:color="auto"/>
          <w:color w:val="auto"/>
        </w:rPr>
        <w:t xml:space="preserve">FIRST NINE MONTHS OF 2016 IN COMPARISON TO FIRST NINE MONTHS 2015 </w:t>
      </w:r>
      <w:r>
        <w:rPr>
          <w:rFonts w:ascii="Arial" w:cs="Arial" w:eastAsia="Arial" w:hAnsi="Arial"/>
          <w:sz w:val="18"/>
          <w:szCs w:val="18"/>
          <w:b w:val="1"/>
          <w:bCs w:val="1"/>
          <w:color w:val="auto"/>
        </w:rPr>
        <w:t>Sales</w:t>
      </w:r>
    </w:p>
    <w:p>
      <w:pPr>
        <w:spacing w:after="0" w:line="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Sales for the first nine months of 2016 totaled $2.4 billion, an increase of 2% from the prior year period. On a currency neutral basis sales increased 4%, as a result of new win performance in both Flavors and Fragrance Compounds, in addition to strong growth in Fragrance Ingredients, driven by the impact of acquisitions and lower volume erosion on existing business in Flavors. On both a reported and currency neutral basis, the effect of acquisitions was approximately 2% to net sales amounts. Overall currency neutral growth included 4% growth from both developed and emerging markets.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9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Flavors reported sales increased 1% against the prior year period while currency neutral sales increased 4% during the first nine months of 2016 compared to the 2015 period, with approximately half of the growth driven by the inclusion of acquisitions in both reported and currency neutral basis amounts. In addition, the overall performance reflects new win performance and lower volume erosion. The currency neutral increase was due to low to mid single-digit growth in all four end-use categories. The Flavors business delivered currency neutral growth in all four regions, led by NOAM and GA. Sales in NOAM were led by high single-digit gains in Sweet and low single-digit gains in Beverage. Sales in GA were driven by high single-digit gains in Dairy as well as mid single-digit gains in Sweet and Beverage. LA sales were driven by double-digit gains in Savory and Dairy. EAME sales were driven by mid to high single-digit gains in Sweet and Dairy.</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90"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The Fragrances business experienced an increase of 3% in reported sales and a 5% increase in currency neutral sales for the first nine months of 2016 compared to the 2015 period. Acquisitions accounted for primarily all of the growth on a reported basis and approximately two-thirds of the growth on a currency neutral basis. The overall currency neutral increase was primarily driven by double-digit growth in Fragrance Ingredients, which is driven entirely by the inclusion of acquisitions, as well as mid single-digit growth in Fabric Care and high single-digit growth in Personal Wash. Excluding the effects of acquisitions, Fragrance Ingredients sales declined low single-digits on a currency neutral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27" w:right="239" w:bottom="1440" w:gutter="0" w:footer="0" w:header="0"/>
        </w:sectPr>
      </w:pPr>
    </w:p>
    <w:bookmarkStart w:id="25" w:name="page26"/>
    <w:bookmarkEnd w:id="25"/>
    <w:p>
      <w:pPr>
        <w:ind w:left="220"/>
        <w:spacing w:after="0"/>
        <w:rPr>
          <w:sz w:val="20"/>
          <w:szCs w:val="20"/>
          <w:color w:val="auto"/>
        </w:rPr>
      </w:pPr>
      <w:r>
        <w:rPr>
          <w:rFonts w:ascii="Arial" w:cs="Arial" w:eastAsia="Arial" w:hAnsi="Arial"/>
          <w:sz w:val="18"/>
          <w:szCs w:val="18"/>
          <w:b w:val="1"/>
          <w:bCs w:val="1"/>
          <w:i w:val="1"/>
          <w:iCs w:val="1"/>
          <w:color w:val="auto"/>
        </w:rPr>
        <w:t>Sales Performance by Region and Category</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520" w:type="dxa"/>
            <w:vAlign w:val="bottom"/>
            <w:tcBorders>
              <w:bottom w:val="single" w:sz="8" w:color="auto"/>
            </w:tcBorders>
            <w:gridSpan w:val="7"/>
          </w:tcPr>
          <w:p>
            <w:pPr>
              <w:ind w:left="720"/>
              <w:spacing w:after="0"/>
              <w:rPr>
                <w:sz w:val="20"/>
                <w:szCs w:val="20"/>
                <w:color w:val="auto"/>
              </w:rPr>
            </w:pPr>
            <w:r>
              <w:rPr>
                <w:rFonts w:ascii="Arial" w:cs="Arial" w:eastAsia="Arial" w:hAnsi="Arial"/>
                <w:sz w:val="14"/>
                <w:szCs w:val="14"/>
                <w:b w:val="1"/>
                <w:bCs w:val="1"/>
                <w:color w:val="auto"/>
              </w:rPr>
              <w:t>% Change in Sales - First Nine Months 2016 vs. First Nine Months 2015</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Fine Fragrances</w:t>
            </w:r>
          </w:p>
        </w:tc>
        <w:tc>
          <w:tcPr>
            <w:tcW w:w="152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Consumer</w:t>
            </w:r>
          </w:p>
        </w:tc>
        <w:tc>
          <w:tcPr>
            <w:tcW w:w="15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Ingredients</w:t>
            </w:r>
          </w:p>
        </w:tc>
        <w:tc>
          <w:tcPr>
            <w:tcW w:w="15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Total Frag.</w:t>
            </w:r>
          </w:p>
        </w:tc>
        <w:tc>
          <w:tcPr>
            <w:tcW w:w="940" w:type="dxa"/>
            <w:vAlign w:val="bottom"/>
            <w:vMerge w:val="restart"/>
          </w:tcPr>
          <w:p>
            <w:pPr>
              <w:ind w:left="460"/>
              <w:spacing w:after="0"/>
              <w:rPr>
                <w:sz w:val="20"/>
                <w:szCs w:val="20"/>
                <w:color w:val="auto"/>
              </w:rPr>
            </w:pPr>
            <w:r>
              <w:rPr>
                <w:rFonts w:ascii="Arial" w:cs="Arial" w:eastAsia="Arial" w:hAnsi="Arial"/>
                <w:sz w:val="14"/>
                <w:szCs w:val="14"/>
                <w:b w:val="1"/>
                <w:bCs w:val="1"/>
                <w:color w:val="auto"/>
                <w:w w:val="92"/>
              </w:rPr>
              <w:t>Flavors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tcPr>
          <w:p>
            <w:pPr>
              <w:ind w:left="360"/>
              <w:spacing w:after="0"/>
              <w:rPr>
                <w:sz w:val="20"/>
                <w:szCs w:val="20"/>
                <w:color w:val="auto"/>
              </w:rPr>
            </w:pPr>
            <w:r>
              <w:rPr>
                <w:rFonts w:ascii="Arial" w:cs="Arial" w:eastAsia="Arial" w:hAnsi="Arial"/>
                <w:sz w:val="14"/>
                <w:szCs w:val="14"/>
                <w:b w:val="1"/>
                <w:bCs w:val="1"/>
                <w:color w:val="auto"/>
              </w:rPr>
              <w:t>Fragrances</w:t>
            </w:r>
          </w:p>
        </w:tc>
        <w:tc>
          <w:tcPr>
            <w:tcW w:w="152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5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NOAM Reported</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6 %</w:t>
            </w:r>
          </w:p>
        </w:tc>
        <w:tc>
          <w:tcPr>
            <w:tcW w:w="0" w:type="dxa"/>
            <w:vAlign w:val="bottom"/>
          </w:tcPr>
          <w:p>
            <w:pPr>
              <w:spacing w:after="0"/>
              <w:rPr>
                <w:sz w:val="1"/>
                <w:szCs w:val="1"/>
                <w:color w:val="auto"/>
              </w:rPr>
            </w:pPr>
          </w:p>
        </w:tc>
      </w:tr>
      <w:tr>
        <w:trPr>
          <w:trHeight w:val="243"/>
        </w:trPr>
        <w:tc>
          <w:tcPr>
            <w:tcW w:w="2560" w:type="dxa"/>
            <w:vAlign w:val="bottom"/>
            <w:gridSpan w:val="2"/>
          </w:tcPr>
          <w:p>
            <w:pPr>
              <w:ind w:left="40"/>
              <w:spacing w:after="0"/>
              <w:rPr>
                <w:sz w:val="20"/>
                <w:szCs w:val="20"/>
                <w:color w:val="auto"/>
              </w:rPr>
            </w:pPr>
            <w:r>
              <w:rPr>
                <w:rFonts w:ascii="Arial" w:cs="Arial" w:eastAsia="Arial" w:hAnsi="Arial"/>
                <w:sz w:val="18"/>
                <w:szCs w:val="18"/>
                <w:b w:val="1"/>
                <w:bCs w:val="1"/>
                <w:color w:val="auto"/>
              </w:rPr>
              <w:t>EAME Reported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12 %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0 %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LA</w:t>
            </w:r>
          </w:p>
        </w:tc>
        <w:tc>
          <w:tcPr>
            <w:tcW w:w="202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-16 %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0 %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GA</w:t>
            </w:r>
          </w:p>
        </w:tc>
        <w:tc>
          <w:tcPr>
            <w:tcW w:w="202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15 %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9 %</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2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12 %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neutral sales growth is calculated by translating prior year sales at the exchange rates for the corresponding 2016 period.</w:t>
      </w:r>
    </w:p>
    <w:p>
      <w:pPr>
        <w:spacing w:after="0" w:line="210" w:lineRule="exact"/>
        <w:rPr>
          <w:rFonts w:ascii="Arial" w:cs="Arial" w:eastAsia="Arial" w:hAnsi="Arial"/>
          <w:sz w:val="18"/>
          <w:szCs w:val="18"/>
          <w:color w:val="auto"/>
        </w:rPr>
      </w:pPr>
    </w:p>
    <w:p>
      <w:pPr>
        <w:ind w:left="660" w:right="40" w:hanging="328"/>
        <w:spacing w:after="0" w:line="25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NOAM Flavors sales increased 4%, which included the impact of acquisitions contributing to high single-digit growth in Sweet and low single-digit growth in Beverage, which more than offset low single-digit declines in Dairy. NOAM Fragrance sales increased 9%, principally due to double-digit gains Fragrance Ingredients (which included the impact of acquisitions) and Fabric Care as well as high single-digit gains in Home Care and mid single-digit gains in Fine Fragrances.</w:t>
      </w:r>
    </w:p>
    <w:p>
      <w:pPr>
        <w:spacing w:after="0" w:line="2" w:lineRule="exact"/>
        <w:rPr>
          <w:rFonts w:ascii="Arial" w:cs="Arial" w:eastAsia="Arial" w:hAnsi="Arial"/>
          <w:sz w:val="18"/>
          <w:szCs w:val="18"/>
          <w:color w:val="auto"/>
        </w:rPr>
      </w:pPr>
    </w:p>
    <w:p>
      <w:pPr>
        <w:ind w:left="660" w:right="60" w:hanging="328"/>
        <w:spacing w:after="0" w:line="250"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EAME Flavors currency neutral sales increased 2% primarily due to mid to high single-digit growth in Sweet and Dairy and low single-digit growth in Savory. EAME Fragrance currency neutral sales increased 3% overall, driven mainly by double-digit growth in Fragrance Ingredients (which included the impact of acquisitions) and Hair Care.</w:t>
      </w:r>
    </w:p>
    <w:p>
      <w:pPr>
        <w:spacing w:after="0" w:line="1" w:lineRule="exact"/>
        <w:rPr>
          <w:rFonts w:ascii="Arial" w:cs="Arial" w:eastAsia="Arial" w:hAnsi="Arial"/>
          <w:sz w:val="18"/>
          <w:szCs w:val="18"/>
          <w:color w:val="auto"/>
        </w:rPr>
      </w:pPr>
    </w:p>
    <w:p>
      <w:pPr>
        <w:ind w:left="660" w:right="40" w:hanging="328"/>
        <w:spacing w:after="0" w:line="265" w:lineRule="auto"/>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LA Flavors currency neutral sales were up 3% driven by double-digit gains in the Savory and Dairy. LA Fragrances currency neutral sales declined 1% overall, principally led by double-digit declines in Fragrance Ingredients as well as mid single-digit declines in Fabric Care and Toiletries, which were only partially offset by double-digit growth in Personal Wash and mid single-digit growth in Fine Fragrances.</w:t>
      </w:r>
    </w:p>
    <w:p>
      <w:pPr>
        <w:ind w:left="660" w:hanging="328"/>
        <w:spacing w:after="0" w:line="25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GA Flavors currency neutral sales increased 4% from the prior year period driven by high single-digit gains in Dairy, mid single-digit gains in Beverage and Sweet and low single-digit gains in Savory. GA Fragrances currency neutral sales growth of 9% was principally driven by double-digit gains in Fragrance Ingredients (which included the impact of acquisitions) Fabric Care and Personal Wash which more than offset low single-digit declines in Hair Care.</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Goods Sold</w:t>
      </w:r>
    </w:p>
    <w:p>
      <w:pPr>
        <w:spacing w:after="0" w:line="94"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Cost of goods sold, as a percentage of sales, decreased 50 bps to 54.5% in the first nine months of 2016 compared to 55.0% in the first nine months of 2015, principally driven by cost savings and productivity initiatives. Included in cost of goods sold was $3.3 million of operational improvement initiative, acquisition-related and restructuring costs in 2016 compared to $4.2 million of acquisition-related and operational improvement initiative costs in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 Expenses</w:t>
      </w:r>
    </w:p>
    <w:p>
      <w:pPr>
        <w:spacing w:after="0" w:line="9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Overall R&amp;D expenses, as a percentage of sales, decreased slightly compared to the prior year period at 8.1% in the first nine months of 2016 versus 8.2% for the first nine months of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(S&amp;A) Expenses</w:t>
      </w:r>
    </w:p>
    <w:p>
      <w:pPr>
        <w:spacing w:after="0" w:line="9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S&amp;A expenses increased $36.1 million to $408.4 million or 17.3%, as a percentage of sales, in the first nine months of 2016 compared to 16.1% in the first nine months of 2015. The 2016 amount includes $24.7 million of legal charges and acquisition-related costs. The 2015 amount includes $10.6 million of acquisition-related costs. Excluding these items, adjusted S&amp;A expenses were $383.7 million or 16.3%, as a percentage of sales in 2016 compared to $361.7 million or 15.7% of sales in 2015. The increase of $22.0 million was principally due to higher compensation expense as well as strategic investments, compliance and litigation-related costs that are expected to continue in the fourth quarter in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827"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Amortization of Acquisition-Related Intangibles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Amortization expenses increased $6.4 million to $16.7 million in the first nine months of 2016 compared to $10.3 million in the first nine months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2015. The $6.4 million increase was driven by the acquisitions of Ottens Flavors and Lucas Meyer in the second and third quarters of 2015, respectively.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94"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We evaluate the performance of business units based on segment profit which is defined as operating profit before Restructuring and other charges, net, Global expenses (as discussed in Note 9 to the Consolidated Financial Statements) and certain non-recurring items, net, Interest expense, Other (expense) income, net and Taxes on income. See Note 9 to the Consolidated Financial Statements for the reconciliation to Income before taxes.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2015</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Flavors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259,662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256,546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261,843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252,416</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Global expenses</w:t>
            </w:r>
          </w:p>
        </w:tc>
        <w:tc>
          <w:tcPr>
            <w:tcW w:w="380" w:type="dxa"/>
            <w:vAlign w:val="bottom"/>
          </w:tcPr>
          <w:p>
            <w:pPr>
              <w:spacing w:after="0"/>
              <w:rPr>
                <w:sz w:val="21"/>
                <w:szCs w:val="21"/>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(37,544)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(27,067)</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Acquisition and related costs</w:t>
            </w:r>
          </w:p>
        </w:tc>
        <w:tc>
          <w:tcPr>
            <w:tcW w:w="380" w:type="dxa"/>
            <w:vAlign w:val="bottom"/>
          </w:tcPr>
          <w:p>
            <w:pPr>
              <w:spacing w:after="0"/>
              <w:rPr>
                <w:sz w:val="21"/>
                <w:szCs w:val="21"/>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(13,896)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improvement initiative costs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(841)</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Spanish capital tax settlement</w:t>
            </w:r>
          </w:p>
        </w:tc>
        <w:tc>
          <w:tcPr>
            <w:tcW w:w="38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charge</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456,034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467,328</w:t>
            </w:r>
          </w:p>
        </w:tc>
      </w:tr>
      <w:tr>
        <w:trPr>
          <w:trHeight w:val="67"/>
        </w:trPr>
        <w:tc>
          <w:tcPr>
            <w:tcW w:w="79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31"/>
        </w:trPr>
        <w:tc>
          <w:tcPr>
            <w:tcW w:w="7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Profit margin:</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Flavors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Consolidated</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20.3%</w:t>
            </w: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Segment Profit</w:t>
      </w:r>
    </w:p>
    <w:p>
      <w:pPr>
        <w:spacing w:after="0" w:line="9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Flavors segment profit increased to $259.7 million in the first nine months of 2016, or 23.2% as a percentage of sales, with $256.5 million, or 23.1% as a percentage of sales in the comparable 2015 period, principally reflecting productivity initiatives, partially offset by unfavorable mix and incremental costs related to new sites.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Segment Profit</w:t>
      </w:r>
    </w:p>
    <w:p>
      <w:pPr>
        <w:spacing w:after="0" w:line="90"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Fragrances segment profit increased approximately 4% to $261.8 million in the first nine months of 2016, or 21.2% as a percentage of sales, compared to $252.4 million, or 21.1% as a percentage of sales, in the comparable 2015 period. The increase in segment profit and profit margin was primarily due to productivity initiatives, the impact of Lucas Meyer and volume growth, partially offset by the net impact of price versus input costs.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Global Expenses</w:t>
      </w:r>
    </w:p>
    <w:p>
      <w:pPr>
        <w:spacing w:after="0" w:line="9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Global expenses represent corporate and headquarters-related expenses which include legal, finance, human resources and R&amp;D and other administrative expenses that are not allocated to an individual business unit. In the first nine months of 2016, Global expenses were $37.5 million compared to $27.1 million during the 2015 period. The increase was principally driven by lower favorable impact from the cash flow hedging program and incentive compensation in the current year.</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Interest expense increased $6.2 million to $40.6 million in the first nine months of 2016 compared to $34.4 million in the 2015 period reflecting the impact of borrowings under the Euro Senior Notes - 2016. Average cost of debt was 3.8% for the 2016 period compared to 4.6% for the 2015 period.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823"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Other (income) expense, net increased by approximately $1.7 million to $5.0 million of income in the first nine months of 2016 versus $3.3 million of income in the comparable 2015 period. The year-over-year increase is primarily driven by a gain on the sale of land, which was partially offset by lower foreign exchange gains in the 2016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The effective tax rate for the nine months ended September 30, 2016 was 22.7% compared with 22.1% for the nine months ended September 30, 2015. The increase was largely due to a benefit of $10.5 million recorded in the first nine months of 2015, as a result of favorable tax rulings in Spain and another jurisdiction for which reserves were previously recorded and higher loss provisions in 2016, partially offset by lower cost of repatriation in the 2016 period. Excluding the $9.4 million tax benefit associated with pretax legal charges, restructuring, operational improvement initiatives and acquisition-related costs, the 2016 period adjusted effective tax rate was 23.3%, or 80 bps lower than the 2015 period adjusted effective tax rate of 24.1%. The 2015 adjusted effective tax rate excluded $2.0 million of tax benefit associated with pretax restructuring, operational improvement initiative and acquisition-related costs and the $10.5 million settlement related to the favorable tax ruling discussed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had cash and cash equivalents of $498.7 million at September 30, 2016 compared to $182.0 million at December 31, 2015, of which $239.8 million of the balance at September 30, 2016 was held outside the United States. Cash balances held in foreign jurisdictions are, in most circumstances, available to be repatriated to the United States; however, they would be subject to United States federal income taxes, less applicable foreign tax credits. We have not provided U.S. income tax expense on substantially all of the accumulated undistributed earnings of our foreign subsidiaries because we have the ability and plan to reinvest these indefinitely.</w:t>
      </w:r>
    </w:p>
    <w:p>
      <w:pPr>
        <w:spacing w:after="0" w:line="13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Effective utilization of the cash generated by our international operations is a critical component of our tax strategy. Strategic dividend repatriation from foreign subsidiaries creates U.S. taxable income, which enables us to realize deferred tax assets. The Company regularly repatriates, in the form of dividends from its non-U.S. subsidiaries, a portion of its current year earnings to fund financial obligations in the U.S.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90" w:lineRule="exact"/>
        <w:rPr>
          <w:sz w:val="20"/>
          <w:szCs w:val="20"/>
          <w:color w:val="auto"/>
        </w:rPr>
      </w:pPr>
    </w:p>
    <w:p>
      <w:pPr>
        <w:jc w:val="both"/>
        <w:ind w:right="300" w:firstLine="432"/>
        <w:spacing w:after="0" w:line="264" w:lineRule="auto"/>
        <w:rPr>
          <w:sz w:val="20"/>
          <w:szCs w:val="20"/>
          <w:color w:val="auto"/>
        </w:rPr>
      </w:pPr>
      <w:r>
        <w:rPr>
          <w:rFonts w:ascii="Arial" w:cs="Arial" w:eastAsia="Arial" w:hAnsi="Arial"/>
          <w:sz w:val="18"/>
          <w:szCs w:val="18"/>
          <w:color w:val="auto"/>
        </w:rPr>
        <w:t>Net cash provided by operating activities in the first nine months of 2016 was $329.4 million compared to $294.7 million in the first nine months of 2015. The increase in operating cash flows for the first nine months of 2016 compared to 2015 was principally driven by lower pension contributions and lower core working capital requirements in the 2016 period as compared to 2015 period.</w:t>
      </w:r>
    </w:p>
    <w:p>
      <w:pPr>
        <w:spacing w:after="0" w:line="12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Working capital (current assets less current liabilities) totaled $1,001.1 million at September 30, 2016, compared to $712.0 million at December 31, 2015. The Company sold certain accounts receivable on a non-recourse basis to unrelated financial institutions under “factoring” agreements that are sponsored, solely and individually, by certain customers. We believe that participating in the factoring programs strengthens our relationships with these customers and provides operational efficiencies. The beneficial impact on cash provided by operations from participating in these programs increased approximately $25.8 million for the nine months ended September 30, 2016 compared to an increase of approximately $0.2 million for the nine months ended September 30, 2015. The cost of participating in these programs was immaterial to our results in all periods.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90"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Net investing activities during the first nine months of 2016 used $66.2 million compared to $546.1 million in the prior year period. The decrease in cash used in investing activities principally reflects the acquisitions of Ottens Flavors and Lucas Meyer during the 2015 period. Additions to property, plant and equipment were $70.2 million during the first nine months of 2016 compared to $66.6 million in the first nine months of 2015. We expect additions to property, plant and equipment will be approximately 5% of our sales (net of potential grants and other reimbursements from government authorities) in 2016.</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90"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Net financing activities in the first nine months of 2016 remained flat with $65.8 million of cash inflows compared to $66.9 million of cash inflows in the first nine months of 2015, reflecting higher borrowings that were offset by the repayment of our Senior Notes - 2006 as well as higher dividend payments and treasury stock repurchases in 2016.</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823" w:right="259" w:bottom="1440" w:gutter="0" w:footer="0" w:header="0"/>
        </w:sectPr>
      </w:pPr>
    </w:p>
    <w:bookmarkStart w:id="28" w:name="page29"/>
    <w:bookmarkEnd w:id="28"/>
    <w:p>
      <w:pPr>
        <w:ind w:left="440"/>
        <w:spacing w:after="0"/>
        <w:rPr>
          <w:sz w:val="20"/>
          <w:szCs w:val="20"/>
          <w:color w:val="auto"/>
        </w:rPr>
      </w:pPr>
      <w:r>
        <w:rPr>
          <w:rFonts w:ascii="Arial" w:cs="Arial" w:eastAsia="Arial" w:hAnsi="Arial"/>
          <w:sz w:val="18"/>
          <w:szCs w:val="18"/>
          <w:color w:val="auto"/>
        </w:rPr>
        <w:t>At September 30, 2016, we had $1,367.9 million of debt outstanding compared to $1,067.7 million outstanding at December 31, 2015.</w:t>
      </w:r>
    </w:p>
    <w:p>
      <w:pPr>
        <w:spacing w:after="0" w:line="17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paid dividends totaling $134.1 million in the 2016 period. We declared a cash dividend per share of $0.64 in the third quarter of 2016 that was paid on October 6, 2016 to all shareholders of record as of September 26, 2016.</w:t>
      </w:r>
    </w:p>
    <w:p>
      <w:pPr>
        <w:spacing w:after="0" w:line="11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In December 2012, the Board of Directors authorized a $250 million share repurchase program, which commenced in the first quarter of 2013. In August 2015, the Board of Directors approved an additional $250 million share repurchase authorization and extension through December 31, 2017. Based on the total remaining amount of $142.6 million available under the amended repurchase program, approximately 1.0 million shares, or 1.3% of shares outstanding (based on the market price and shares outstanding as of September 30, 2016) could be repurchased under the program as of September 30, 2016. The purchases will be made from time to time on the open market or through private transactions as market and business conditions warrant. Repurchased shares will be placed into treasury stock. During the three months ended September 30, 2016, we repurchased 167,307 shares on the open market at an aggregate cost of $22.4 million or an average of $134.08 per share. During the nine months ended September 30, 2016, we repurchased 789,531 shares on the open market at an aggregate cost of $94.1 million or an average of $119.24 per share. The ultimate level of purchases will be a function of the daily purchase limits established in the pre-approved program according to the share price at that time.</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Operating cash flow provides the primary source of funds for capital investment needs, dividends paid to shareholders and debt repayments. We anticipate that cash flows from operations and availability under our existing credit facilities are sufficient to meet our investing and financing needs for at least the next eighteen months. We regularly assess our capital structure, including both current and long-term debt instruments, as compared to our cash generation and investment needs in order to provide ample flexibility and to optimize our leverage ratios. We believe our existing cash balances are sufficient to meet our debt service requirements.</w:t>
      </w:r>
    </w:p>
    <w:p>
      <w:pPr>
        <w:spacing w:after="0" w:line="134"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We supplement short-term liquidity with access to capital markets, mainly through bank credit facilities and issuance of commercial paper. We did not issue commercial paper during the first nine months of 2016 or 2015. During the fourth quarter of 2016, we issued $50 million face value of commercial paper.</w:t>
      </w:r>
    </w:p>
    <w:p>
      <w:pPr>
        <w:spacing w:after="0" w:line="127" w:lineRule="exact"/>
        <w:rPr>
          <w:sz w:val="20"/>
          <w:szCs w:val="20"/>
          <w:color w:val="auto"/>
        </w:rPr>
      </w:pPr>
    </w:p>
    <w:p>
      <w:pPr>
        <w:ind w:right="420" w:firstLine="405"/>
        <w:spacing w:after="0" w:line="264" w:lineRule="auto"/>
        <w:rPr>
          <w:sz w:val="20"/>
          <w:szCs w:val="20"/>
          <w:color w:val="auto"/>
        </w:rPr>
      </w:pPr>
      <w:r>
        <w:rPr>
          <w:rFonts w:ascii="Arial" w:cs="Arial" w:eastAsia="Arial" w:hAnsi="Arial"/>
          <w:sz w:val="18"/>
          <w:szCs w:val="18"/>
          <w:color w:val="auto"/>
        </w:rPr>
        <w:t>We expect to contribute a total of approximately $30 million to our non-U.S. pension plans and $20 million to our U.S. pension plans during 2016. During the nine months ended September 30, 2016, $20.0 million contributions were made to our qualified U.S. pension plans and $21.1 million contributions were made to our non-U.S. pension plans.</w:t>
      </w:r>
    </w:p>
    <w:p>
      <w:pPr>
        <w:spacing w:after="0" w:line="12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March 14, 2016, we issued Euro 500.0 million face amount of 1.75% Senior Notes ("Euro Senior Notes - 2016") due 2024 at a discount of Euro 0.9 million. The Company received proceeds related to the issuance of these Euro Senior Notes - 2016 of Euro 496.0 million which was net of the Euro 0.9 million discount and Euro 3.1 million underwriting discount (recorded as deferred financing costs). In addition, the Company incurred $1.3 million of other deferred financing costs in connection with the debt issuance. The discount and deferred financing costs are being amortized as interest expense over the term of the Euro Senior Notes - 2016. The Euro Senior Notes - 2016 bear interest at a rate of 1.75% per annum, with interest payable on March 14 of each year, commencing on March 14, 2017. The Euro Senior Notes - 2016 will mature on March 14, 2024. See Note 6 to the Consolidated Financial Statements for further information.</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third quarter of 2016, the Company made final payment of $125.0 million on our Senior Notes - 2006.</w:t>
      </w:r>
    </w:p>
    <w:p>
      <w:pPr>
        <w:spacing w:after="0" w:line="171"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As of September 30, 2016, we had no borrowings under our revolving credit facility. The amount which we are able to draw down on under the facility is limited by financial covenants as described in more detail below. Our draw down capacity on the facility was $950.0 million at September 30, 2016.</w:t>
      </w:r>
    </w:p>
    <w:p>
      <w:pPr>
        <w:spacing w:after="0" w:line="7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Under our revolving credit facility, we are required to maintain, at the end of each fiscal quarter, a ratio of net debt for borrowed money to adjusted EBITDA in respect of the previous 12-month period of not more than 3.25 to 1. Based on this ratio, at September 30, 2016 our covenant compliance provided overall borrowing capacity of $1,525 million.</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September 30, 2016, we were in compliance with all financial and other covenants, including the net debt to adjusted EBITDA ratio. At</w:t>
      </w:r>
    </w:p>
    <w:p>
      <w:pPr>
        <w:spacing w:after="0" w:line="228" w:lineRule="auto"/>
        <w:rPr>
          <w:sz w:val="20"/>
          <w:szCs w:val="20"/>
          <w:color w:val="auto"/>
        </w:rPr>
      </w:pPr>
      <w:r>
        <w:rPr>
          <w:rFonts w:ascii="Arial" w:cs="Arial" w:eastAsia="Arial" w:hAnsi="Arial"/>
          <w:sz w:val="16"/>
          <w:szCs w:val="16"/>
          <w:color w:val="auto"/>
        </w:rPr>
        <w:t xml:space="preserve">September 30, 2016 our Net Debt/adjusted EBITDA </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ratio, as defined by the debt agreements, was 1.18 to 1, well below the financial covenants of existing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outstanding debt. Failure to comply with the financial and other covenants under our debt agreements would constitute default and would allow the lenders to</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accelerate the maturity of all indebtedness under the related agreement. If such acceleration were to occur, we would not have sufficient liquidity available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repay the indebtedness. We would likely have to seek amendments under the agreements for relief from the financial covenants or repay</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746" w:right="259" w:bottom="1440" w:gutter="0" w:footer="0" w:header="0"/>
        </w:sectPr>
      </w:pPr>
    </w:p>
    <w:bookmarkStart w:id="29" w:name="page30"/>
    <w:bookmarkEnd w:id="29"/>
    <w:p>
      <w:pPr>
        <w:ind w:right="60"/>
        <w:spacing w:after="0" w:line="277" w:lineRule="auto"/>
        <w:rPr>
          <w:sz w:val="20"/>
          <w:szCs w:val="20"/>
          <w:color w:val="auto"/>
        </w:rPr>
      </w:pPr>
      <w:r>
        <w:rPr>
          <w:rFonts w:ascii="Arial" w:cs="Arial" w:eastAsia="Arial" w:hAnsi="Arial"/>
          <w:sz w:val="18"/>
          <w:szCs w:val="18"/>
          <w:color w:val="auto"/>
        </w:rPr>
        <w:t>the debt with proceeds from the issuance of new debt or equity, and/or asset sales, if necessary. We may be unable to amend the agreements or raise sufficient capital to repay such obligations in the event the maturities are accelerated.</w:t>
      </w:r>
    </w:p>
    <w:p>
      <w:pPr>
        <w:spacing w:after="0" w:line="143" w:lineRule="exact"/>
        <w:rPr>
          <w:sz w:val="20"/>
          <w:szCs w:val="20"/>
          <w:color w:val="auto"/>
        </w:rPr>
      </w:pPr>
    </w:p>
    <w:p>
      <w:pPr>
        <w:ind w:left="540" w:right="80" w:hanging="316"/>
        <w:spacing w:after="0" w:line="259" w:lineRule="auto"/>
        <w:tabs>
          <w:tab w:leader="none" w:pos="5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and Net Debt, which are non-GAAP measures used for these covenants, are calculated in accordance with the definition in the debt agreements. In this context, these measures are used solely to provide information on the extent to which we are in compliance with debt covenants and may not be comparable to adjusted EBITDA and Net Debt used by other companies. Reconciliations of adjusted EBITDA to net income and net debt to total debt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40" w:type="dxa"/>
            <w:vAlign w:val="bottom"/>
            <w:gridSpan w:val="4"/>
          </w:tcPr>
          <w:p>
            <w:pPr>
              <w:jc w:val="right"/>
              <w:ind w:right="472"/>
              <w:spacing w:after="0"/>
              <w:rPr>
                <w:sz w:val="20"/>
                <w:szCs w:val="20"/>
                <w:color w:val="auto"/>
              </w:rPr>
            </w:pPr>
            <w:r>
              <w:rPr>
                <w:rFonts w:ascii="Arial" w:cs="Arial" w:eastAsia="Arial" w:hAnsi="Arial"/>
                <w:sz w:val="14"/>
                <w:szCs w:val="14"/>
                <w:i w:val="1"/>
                <w:iCs w:val="1"/>
                <w:color w:val="auto"/>
              </w:rPr>
              <w:t>Twelve Months Ended September 30,</w:t>
            </w:r>
          </w:p>
        </w:tc>
      </w:tr>
      <w:tr>
        <w:trPr>
          <w:trHeight w:val="276"/>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MILLIONS)</w:t>
            </w: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i w:val="1"/>
                <w:iCs w:val="1"/>
                <w:color w:val="auto"/>
              </w:rPr>
              <w:t>2016</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i w:val="1"/>
                <w:iCs w:val="1"/>
                <w:color w:val="auto"/>
              </w:rPr>
              <w:t>2015</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w w:val="7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404.2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430.2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Interest expense</w:t>
            </w:r>
          </w:p>
        </w:tc>
        <w:tc>
          <w:tcPr>
            <w:tcW w:w="3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i w:val="1"/>
                <w:iCs w:val="1"/>
                <w:color w:val="auto"/>
              </w:rPr>
              <w:t>52.4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i w:val="1"/>
                <w:iCs w:val="1"/>
                <w:color w:val="auto"/>
              </w:rPr>
              <w:t>46.4</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118.9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123.6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3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i w:val="1"/>
                <w:iCs w:val="1"/>
                <w:color w:val="auto"/>
              </w:rPr>
              <w:t>99.5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i w:val="1"/>
                <w:iCs w:val="1"/>
                <w:color w:val="auto"/>
              </w:rPr>
              <w:t>86.0</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i w:val="1"/>
                <w:iCs w:val="1"/>
                <w:color w:val="auto"/>
              </w:rPr>
              <w:t xml:space="preserve">Specified items </w:t>
            </w:r>
            <w:r>
              <w:rPr>
                <w:rFonts w:ascii="Arial" w:cs="Arial" w:eastAsia="Arial" w:hAnsi="Arial"/>
                <w:sz w:val="25"/>
                <w:szCs w:val="25"/>
                <w:b w:val="1"/>
                <w:bCs w:val="1"/>
                <w:i w:val="1"/>
                <w:iCs w:val="1"/>
                <w:color w:val="auto"/>
                <w:vertAlign w:val="superscript"/>
              </w:rPr>
              <w:t>(1)</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40.0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0.2</w:t>
            </w:r>
          </w:p>
        </w:tc>
      </w:tr>
      <w:tr>
        <w:trPr>
          <w:trHeight w:val="270"/>
        </w:trPr>
        <w:tc>
          <w:tcPr>
            <w:tcW w:w="8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b w:val="1"/>
                <w:bCs w:val="1"/>
                <w:i w:val="1"/>
                <w:iCs w:val="1"/>
                <w:color w:val="auto"/>
              </w:rPr>
              <w:t xml:space="preserve">Non-cash items </w:t>
            </w:r>
            <w:r>
              <w:rPr>
                <w:rFonts w:ascii="Arial" w:cs="Arial" w:eastAsia="Arial" w:hAnsi="Arial"/>
                <w:sz w:val="25"/>
                <w:szCs w:val="25"/>
                <w:b w:val="1"/>
                <w:bCs w:val="1"/>
                <w:i w:val="1"/>
                <w:iCs w:val="1"/>
                <w:color w:val="auto"/>
                <w:vertAlign w:val="superscript"/>
              </w:rPr>
              <w:t>(2)</w:t>
            </w:r>
          </w:p>
        </w:tc>
        <w:tc>
          <w:tcPr>
            <w:tcW w:w="3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i w:val="1"/>
                <w:iCs w:val="1"/>
                <w:color w:val="auto"/>
              </w:rPr>
              <w:t>21.0</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19.7</w:t>
            </w: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EBITDA</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w w:val="7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736.0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706.1</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140" w:hanging="332"/>
        <w:spacing w:after="0" w:line="256" w:lineRule="auto"/>
        <w:tabs>
          <w:tab w:leader="none" w:pos="3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Specified items for the 12 months ended September 30, 2016 of $40.0 million consist of the legal charge related to the ZoomEssence reserve recorded in the third quarter of 2016 as well as costs associated with restructuring and the acceleration of the contingent consideration related to the Aromor acquisition as discussed in our 2015 Form 10-K.</w:t>
      </w:r>
    </w:p>
    <w:p>
      <w:pPr>
        <w:ind w:left="340" w:right="120" w:hanging="332"/>
        <w:spacing w:after="0" w:line="261" w:lineRule="auto"/>
        <w:tabs>
          <w:tab w:leader="none" w:pos="3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Non-cash items represent all other adjustments to reconcile net income to net cash provided by operations as presented on the Statement of Cash Flows, including gain on disposal of assets, stock-based compensation and pension settlement/curtailment.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2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September 30,</w:t>
            </w:r>
          </w:p>
        </w:tc>
        <w:tc>
          <w:tcPr>
            <w:tcW w:w="1080" w:type="dxa"/>
            <w:vAlign w:val="bottom"/>
          </w:tcPr>
          <w:p>
            <w:pPr>
              <w:spacing w:after="0"/>
              <w:rPr>
                <w:sz w:val="15"/>
                <w:szCs w:val="15"/>
                <w:color w:val="auto"/>
              </w:rPr>
            </w:pPr>
          </w:p>
        </w:tc>
      </w:tr>
      <w:tr>
        <w:trPr>
          <w:trHeight w:val="276"/>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MILLIONS)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i w:val="1"/>
                <w:iCs w:val="1"/>
                <w:color w:val="auto"/>
              </w:rPr>
              <w:t>2016</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i w:val="1"/>
                <w:iCs w:val="1"/>
                <w:color w:val="auto"/>
              </w:rPr>
              <w:t>2015</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Total debt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1,367.9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i w:val="1"/>
                <w:iCs w:val="1"/>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1,191.0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Adjustments: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i w:val="1"/>
                <w:iCs w:val="1"/>
                <w:color w:val="auto"/>
              </w:rPr>
              <w:t>Deferred gain on interest rate swaps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(3.7)</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Cash and cash equivalents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(498.7)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(272.3)</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debt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867.4</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i w:val="1"/>
                <w:iCs w:val="1"/>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915.0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As discussed in Note 13 to the Consolidated Financial Statements, at September 30, 2016, we had entered into various guarantees and had undrawn outstanding letters of credit from financial institutions. These arrangements reflect ongoing business operations, including commercial commitments, and governmental requirements associated with audits or litigation that are in process with various jurisdictions. Based on the current facts and circumstances they are not reasonably likely to have a material impact on our consolidated financial condition, results of operations, or cash flows.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Under the Private Securities Litigation Reform Act of 1995</w:t>
      </w:r>
    </w:p>
    <w:p>
      <w:pPr>
        <w:spacing w:after="0" w:line="94"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This Quarterly Report includes “forward-looking statements” under the Federal Private Securities Litigation Reform Act of 1995, including statements regarding our expectations concerning (i) expected cost pressures in 2016, (ii) capital spending in 2016, (iii) cash flows to fund future operations and to meet debt service requirements, and (iv) our plans and intentions to indefinitely reinvest undistributed foreign earnings in our foreign subsidiaries to fund local operations and/or capital projects. These forward-looking statements should be evaluated with consideration given to the many risks and uncertainties inherent in our business that could cause actual results and events to differ materially from those in the forward-looking statements. Certain of such forward-looking information may be identified by such terms as “will,” “expect,” “anticipate,” “believe,” “outlook,” “may,” “estimate,” “should,” “intend,” “plan” and “predict” similar terms or variations thereof. Such forward-looking statements are based on a series of expectations, assumptions, estimates and projections about the Company, are not guarantees of future results or performance, and involve significant risks, uncertainties and other factors, including assumptions and projections, for all forward periods. Our actual results may differ materially from any future results expressed or implied by such forward-looking statements. Such factors include, among others,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0" w:name="page31"/>
    <w:bookmarkEnd w:id="30"/>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implement our Vision 2020 strategy;</w:t>
      </w:r>
    </w:p>
    <w:p>
      <w:pPr>
        <w:spacing w:after="0" w:line="23"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identify and complete acquisitions in line with our Vision 2020 strategy, and to realize the anticipated benefits of those acquisitions;</w:t>
      </w:r>
    </w:p>
    <w:p>
      <w:pPr>
        <w:ind w:left="660" w:righ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effectively compete in our market, and to successfully develop new and competitive products that appeal to our customers and consumers;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consumer preferences and demand for our products or a decline in consumer confidence and spending;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benefit from our investments and expansion in emerging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impact of currency fluctuations or devaluations in the principal foreign markets in which we operate, including the devaluation of the Euro;</w:t>
      </w:r>
    </w:p>
    <w:p>
      <w:pPr>
        <w:spacing w:after="0" w:line="20" w:lineRule="exact"/>
        <w:rPr>
          <w:rFonts w:ascii="Arial" w:cs="Arial" w:eastAsia="Arial" w:hAnsi="Arial"/>
          <w:sz w:val="17"/>
          <w:szCs w:val="17"/>
          <w:color w:val="auto"/>
        </w:rPr>
      </w:pPr>
    </w:p>
    <w:p>
      <w:pPr>
        <w:ind w:left="660" w:right="68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economic and political risks associated with our international operations, including challenging economic conditions in China and Latin America;</w:t>
      </w:r>
    </w:p>
    <w:p>
      <w:pPr>
        <w:ind w:left="660" w:right="40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legal and regulatory developments, as well as restrictions or costs that may be imposed on us or our operations by U.S. and foreign governments;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any failure of our key information technology systems or a breach of information security;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and retain talented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comply with, and the costs associated with compliance, with U.S. and foreign environmental protection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realize expected cost savings and efficiencies from our profitability improvement initiatives and other optimization activities;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volatility and increases in the price of raw materials, energy and transportation;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quality and availability of raw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a disruption in our supply chain or our relationship with our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adverse impact on the availability, effectiveness and cost of our hedging and risk management strategies;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manage our working capital and inventory balances;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uncertainties regarding the outcome of, or funding requirements, related to litigation or settlement of pending litigation, uncertain tax positions or other contingencies;</w:t>
      </w:r>
    </w:p>
    <w:p>
      <w:pPr>
        <w:ind w:left="660" w:right="54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changes in federal, state, local and international tax legislation or policies, including with respect to transfer pricing and state aid, and adverse results of tax audits, assessments, or disputes; and</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 conditions or governmental regulations relating to our pension and postretirement obligations.</w:t>
      </w:r>
    </w:p>
    <w:p>
      <w:pPr>
        <w:spacing w:after="0" w:line="15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future events, or otherwise.</w:t>
      </w:r>
    </w:p>
    <w:p>
      <w:pPr>
        <w:spacing w:after="0" w:line="181"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Any public statements or disclosures by the Company following this report that modify or impact any of the forward-looking statements contained in or accompanying this report will be deemed to modify or supersede such outlook or other forward-looking statements in or accompanying this report.</w:t>
      </w:r>
    </w:p>
    <w:p>
      <w:pPr>
        <w:spacing w:after="0" w:line="93"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The foregoing list of important factors does not include all such factors, nor necessarily present them in order of importance. In addition, you should consult other disclosures made by the Company (such as in our other filings with the SEC or in company press releases) for other factors that may cause actual results to differ materially from those projected by the Company. Please refer to Part I. Item 1A., Risk Factors, of the 2015 Form 10-K for additional information regarding factors that could affect our results of operations, financial condition and cash flow.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94"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Company uses non-GAAP financial operating measures in this Quarterly Report, including: (i) currency neutral sales (which eliminates the effects that result from translating its international sales in U.S. dollars), (ii) adjusted operating profit and adjusted operating margin (which excludes legal charges/credits, acquisition-related costs, operational improvement initiative costs, restructuring charges), (iii) adjusted selling and administrative expenses (which excludes legal charges/credits) and (iv) adjusted effective tax rate (which excludes legal charges/credits, acquisition-related costs, operational improvement initiative costs and restructuring charges). The Company also provides the non-GAAP measures adjusted EBITDA (which excludes certain specified items and non-cash items as set forth in the Company’s debt agreements) and net debt (which is adjusted for deferred gain on interest rate swaps and cash and cash equivalents) solely for the purpose of providing information on the extent to which the Company is in compliance with debt covenants contained in its debt agreements.</w:t>
      </w:r>
    </w:p>
    <w:p>
      <w:pPr>
        <w:spacing w:after="0" w:line="138" w:lineRule="exact"/>
        <w:rPr>
          <w:sz w:val="20"/>
          <w:szCs w:val="20"/>
          <w:color w:val="auto"/>
        </w:rPr>
      </w:pPr>
    </w:p>
    <w:p>
      <w:pPr>
        <w:jc w:val="both"/>
        <w:ind w:right="640" w:firstLine="432"/>
        <w:spacing w:after="0" w:line="264" w:lineRule="auto"/>
        <w:rPr>
          <w:sz w:val="20"/>
          <w:szCs w:val="20"/>
          <w:color w:val="auto"/>
        </w:rPr>
      </w:pPr>
      <w:r>
        <w:rPr>
          <w:rFonts w:ascii="Arial" w:cs="Arial" w:eastAsia="Arial" w:hAnsi="Arial"/>
          <w:sz w:val="18"/>
          <w:szCs w:val="18"/>
          <w:color w:val="auto"/>
        </w:rPr>
        <w:t>We have included each of these non-GAAP measures in order to provide additional information regarding our underlying operating results and comparable year-over-year performance. Such information is supplemental to information presented in accordance with GAAP and is not intended to represent a presentation in accordance with GAAP. In discussing our historical</w:t>
      </w: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800" w:right="259" w:bottom="1440" w:gutter="0" w:footer="0" w:header="0"/>
        </w:sectPr>
      </w:pPr>
    </w:p>
    <w:bookmarkStart w:id="31" w:name="page32"/>
    <w:bookmarkEnd w:id="31"/>
    <w:p>
      <w:pPr>
        <w:ind w:right="140"/>
        <w:spacing w:after="0" w:line="291" w:lineRule="auto"/>
        <w:rPr>
          <w:sz w:val="20"/>
          <w:szCs w:val="20"/>
          <w:color w:val="auto"/>
        </w:rPr>
      </w:pPr>
      <w:r>
        <w:rPr>
          <w:rFonts w:ascii="Arial" w:cs="Arial" w:eastAsia="Arial" w:hAnsi="Arial"/>
          <w:sz w:val="16"/>
          <w:szCs w:val="16"/>
          <w:color w:val="auto"/>
        </w:rPr>
        <w:t>and expected future results and financial condition, we believe it is meaningful for investors to be made aware of and to be assisted in a better understanding of, on a period-to-period comparable basis, financial amounts both including and excluding these identified items, as well as the impact of exchange rate fluctuations. We believe such additional non-GAAP information provides investors with an overall perspective of the period-to-period performance of our business. In addition, management internally reviews each of these non-GAAP measures to evaluate performance on a comparative period-to-period basis in terms of absolute performance, trends and expected future performance with respect to our business. A material limitation of these non-GAAP measures is that such measures do not reflect actual GAAP amounts. We compensate for such limitations by using these measures as one of several metrics, including GAAP measures. These non-GAAP measures may not be comparable to similarly titled measures used by other companies.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Items Impacting Comparability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gridSpan w:val="7"/>
          </w:tcPr>
          <w:p>
            <w:pPr>
              <w:spacing w:after="0"/>
              <w:rPr>
                <w:sz w:val="20"/>
                <w:szCs w:val="20"/>
                <w:color w:val="auto"/>
              </w:rPr>
            </w:pPr>
            <w:r>
              <w:rPr>
                <w:rFonts w:ascii="Arial" w:cs="Arial" w:eastAsia="Arial" w:hAnsi="Arial"/>
                <w:sz w:val="18"/>
                <w:szCs w:val="18"/>
                <w:b w:val="1"/>
                <w:bCs w:val="1"/>
                <w:color w:val="auto"/>
              </w:rPr>
              <w:t>Three Months Ended September 30, 2016</w:t>
            </w: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6"/>
          </w:tcPr>
          <w:p>
            <w:pPr>
              <w:ind w:left="800"/>
              <w:spacing w:after="0"/>
              <w:rPr>
                <w:sz w:val="20"/>
                <w:szCs w:val="20"/>
                <w:color w:val="auto"/>
              </w:rPr>
            </w:pPr>
            <w:r>
              <w:rPr>
                <w:rFonts w:ascii="Arial" w:cs="Arial" w:eastAsia="Arial" w:hAnsi="Arial"/>
                <w:sz w:val="18"/>
                <w:szCs w:val="18"/>
                <w:b w:val="1"/>
                <w:bCs w:val="1"/>
                <w:color w:val="auto"/>
              </w:rPr>
              <w:t>Adjusted Gross Profit</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Operational</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430"/>
              <w:spacing w:after="0"/>
              <w:rPr>
                <w:sz w:val="20"/>
                <w:szCs w:val="20"/>
                <w:color w:val="auto"/>
              </w:rPr>
            </w:pPr>
            <w:r>
              <w:rPr>
                <w:rFonts w:ascii="Arial" w:cs="Arial" w:eastAsia="Arial" w:hAnsi="Arial"/>
                <w:sz w:val="18"/>
                <w:szCs w:val="18"/>
                <w:b w:val="1"/>
                <w:bCs w:val="1"/>
                <w:color w:val="auto"/>
              </w:rPr>
              <w:t>Reported</w:t>
            </w:r>
          </w:p>
        </w:tc>
        <w:tc>
          <w:tcPr>
            <w:tcW w:w="170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w w:val="91"/>
              </w:rPr>
              <w:t>Restructuring and</w:t>
            </w:r>
          </w:p>
        </w:tc>
        <w:tc>
          <w:tcPr>
            <w:tcW w:w="212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8"/>
              </w:rPr>
              <w:t>Improvement Initiative</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490"/>
              <w:spacing w:after="0"/>
              <w:rPr>
                <w:sz w:val="20"/>
                <w:szCs w:val="20"/>
                <w:color w:val="auto"/>
              </w:rPr>
            </w:pPr>
            <w:r>
              <w:rPr>
                <w:rFonts w:ascii="Arial" w:cs="Arial" w:eastAsia="Arial" w:hAnsi="Arial"/>
                <w:sz w:val="18"/>
                <w:szCs w:val="18"/>
                <w:b w:val="1"/>
                <w:bCs w:val="1"/>
                <w:color w:val="auto"/>
              </w:rPr>
              <w:t>(GAAP)</w:t>
            </w:r>
          </w:p>
        </w:tc>
        <w:tc>
          <w:tcPr>
            <w:tcW w:w="170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w w:val="92"/>
              </w:rPr>
              <w:t>Other Charges (a)</w:t>
            </w: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Costs (b)</w:t>
            </w:r>
          </w:p>
        </w:tc>
        <w:tc>
          <w:tcPr>
            <w:tcW w:w="7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7"/>
              </w:rPr>
              <w:t>(Non-GAAP)</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346,268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93"/>
              </w:rPr>
              <w:t>190</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right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791</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347,249</w:t>
            </w:r>
          </w:p>
        </w:tc>
        <w:tc>
          <w:tcPr>
            <w:tcW w:w="0" w:type="dxa"/>
            <w:vAlign w:val="bottom"/>
          </w:tcPr>
          <w:p>
            <w:pPr>
              <w:spacing w:after="0"/>
              <w:rPr>
                <w:sz w:val="1"/>
                <w:szCs w:val="1"/>
                <w:color w:val="auto"/>
              </w:rPr>
            </w:pPr>
          </w:p>
        </w:tc>
      </w:tr>
      <w:tr>
        <w:trPr>
          <w:trHeight w:val="59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80" w:type="dxa"/>
            <w:vAlign w:val="bottom"/>
            <w:gridSpan w:val="8"/>
          </w:tcPr>
          <w:p>
            <w:pPr>
              <w:ind w:left="680"/>
              <w:spacing w:after="0"/>
              <w:rPr>
                <w:sz w:val="20"/>
                <w:szCs w:val="20"/>
                <w:color w:val="auto"/>
              </w:rPr>
            </w:pPr>
            <w:r>
              <w:rPr>
                <w:rFonts w:ascii="Arial" w:cs="Arial" w:eastAsia="Arial" w:hAnsi="Arial"/>
                <w:sz w:val="18"/>
                <w:szCs w:val="18"/>
                <w:b w:val="1"/>
                <w:bCs w:val="1"/>
                <w:color w:val="auto"/>
                <w:w w:val="90"/>
              </w:rPr>
              <w:t>Adjusted Selling and Administrative Expenses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Operational</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89"/>
              </w:rPr>
              <w:t>Legal</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Reported</w:t>
            </w:r>
          </w:p>
        </w:tc>
        <w:tc>
          <w:tcPr>
            <w:tcW w:w="1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Improvement</w:t>
            </w:r>
          </w:p>
        </w:tc>
        <w:tc>
          <w:tcPr>
            <w:tcW w:w="100" w:type="dxa"/>
            <w:vAlign w:val="bottom"/>
          </w:tcPr>
          <w:p>
            <w:pPr>
              <w:spacing w:after="0"/>
              <w:rPr>
                <w:sz w:val="18"/>
                <w:szCs w:val="18"/>
                <w:color w:val="auto"/>
              </w:rPr>
            </w:pPr>
          </w:p>
        </w:tc>
        <w:tc>
          <w:tcPr>
            <w:tcW w:w="160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Acquisition and</w:t>
            </w: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Charges/Credits</w:t>
            </w:r>
          </w:p>
        </w:tc>
        <w:tc>
          <w:tcPr>
            <w:tcW w:w="18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Adjusted (Non-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(GAAP)</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Initiative Costs (b)</w:t>
            </w:r>
          </w:p>
        </w:tc>
        <w:tc>
          <w:tcPr>
            <w:tcW w:w="100" w:type="dxa"/>
            <w:vAlign w:val="bottom"/>
          </w:tcPr>
          <w:p>
            <w:pPr>
              <w:spacing w:after="0"/>
              <w:rPr>
                <w:sz w:val="20"/>
                <w:szCs w:val="20"/>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b w:val="1"/>
                <w:bCs w:val="1"/>
                <w:color w:val="auto"/>
              </w:rPr>
              <w:t>Related Costs (c)</w:t>
            </w:r>
          </w:p>
        </w:tc>
        <w:tc>
          <w:tcPr>
            <w:tcW w:w="112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5"/>
              </w:rPr>
              <w:t>(d)</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w w:val="86"/>
              </w:rPr>
              <w:t>GAAP)</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gridSpan w:val="3"/>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Selling and Administrative Expenses</w:t>
            </w:r>
          </w:p>
        </w:tc>
        <w:tc>
          <w:tcPr>
            <w:tcW w:w="12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152,046</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(786)</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740" w:type="dxa"/>
            <w:vAlign w:val="bottom"/>
            <w:tcBorders>
              <w:bottom w:val="single" w:sz="8" w:color="CCEEFF"/>
              <w:right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126,249</w:t>
            </w:r>
          </w:p>
        </w:tc>
        <w:tc>
          <w:tcPr>
            <w:tcW w:w="0" w:type="dxa"/>
            <w:vAlign w:val="bottom"/>
          </w:tcPr>
          <w:p>
            <w:pPr>
              <w:spacing w:after="0"/>
              <w:rPr>
                <w:sz w:val="1"/>
                <w:szCs w:val="1"/>
                <w:color w:val="auto"/>
              </w:rPr>
            </w:pPr>
          </w:p>
        </w:tc>
      </w:tr>
      <w:tr>
        <w:trPr>
          <w:trHeight w:val="59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Adjusted Operating Profit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Restructuring</w:t>
            </w:r>
          </w:p>
        </w:tc>
        <w:tc>
          <w:tcPr>
            <w:tcW w:w="140" w:type="dxa"/>
            <w:vAlign w:val="bottom"/>
          </w:tcPr>
          <w:p>
            <w:pPr>
              <w:spacing w:after="0"/>
              <w:rPr>
                <w:sz w:val="18"/>
                <w:szCs w:val="18"/>
                <w:color w:val="auto"/>
              </w:rPr>
            </w:pPr>
          </w:p>
        </w:tc>
        <w:tc>
          <w:tcPr>
            <w:tcW w:w="14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Operational</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Acquisition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Legal</w:t>
            </w: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Adjusted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1"/>
              </w:rPr>
              <w:t>Reported</w:t>
            </w:r>
          </w:p>
        </w:tc>
        <w:tc>
          <w:tcPr>
            <w:tcW w:w="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and Other</w:t>
            </w:r>
          </w:p>
        </w:tc>
        <w:tc>
          <w:tcPr>
            <w:tcW w:w="140" w:type="dxa"/>
            <w:vAlign w:val="bottom"/>
          </w:tcPr>
          <w:p>
            <w:pPr>
              <w:spacing w:after="0"/>
              <w:rPr>
                <w:sz w:val="18"/>
                <w:szCs w:val="18"/>
                <w:color w:val="auto"/>
              </w:rPr>
            </w:pPr>
          </w:p>
        </w:tc>
        <w:tc>
          <w:tcPr>
            <w:tcW w:w="14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Improvement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6"/>
              </w:rPr>
              <w:t>Related Costs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Charges/Credits</w:t>
            </w:r>
          </w:p>
        </w:tc>
        <w:tc>
          <w:tcPr>
            <w:tcW w:w="260" w:type="dxa"/>
            <w:vAlign w:val="bottom"/>
          </w:tcPr>
          <w:p>
            <w:pPr>
              <w:spacing w:after="0"/>
              <w:rPr>
                <w:sz w:val="18"/>
                <w:szCs w:val="18"/>
                <w:color w:val="auto"/>
              </w:rPr>
            </w:pPr>
          </w:p>
        </w:tc>
        <w:tc>
          <w:tcPr>
            <w:tcW w:w="74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(Non-</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9"/>
              </w:rPr>
              <w:t>(GAAP)</w:t>
            </w:r>
          </w:p>
        </w:tc>
        <w:tc>
          <w:tcPr>
            <w:tcW w:w="20" w:type="dxa"/>
            <w:vAlign w:val="bottom"/>
          </w:tcPr>
          <w:p>
            <w:pPr>
              <w:spacing w:after="0"/>
              <w:rPr>
                <w:sz w:val="20"/>
                <w:szCs w:val="20"/>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Charges (a)</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Initiative Costs (b)</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(d)</w:t>
            </w: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GAAP)</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Operating profit</w:t>
            </w: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124,339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151,117</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Adjusted Net Income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Restructuring</w:t>
            </w:r>
          </w:p>
        </w:tc>
        <w:tc>
          <w:tcPr>
            <w:tcW w:w="14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Operational</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Acquisition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Legal</w:t>
            </w: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Adjusted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Reported</w:t>
            </w:r>
          </w:p>
        </w:tc>
        <w:tc>
          <w:tcPr>
            <w:tcW w:w="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and Other</w:t>
            </w:r>
          </w:p>
        </w:tc>
        <w:tc>
          <w:tcPr>
            <w:tcW w:w="14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Improvement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Related Costs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Charges/Credits</w:t>
            </w:r>
          </w:p>
        </w:tc>
        <w:tc>
          <w:tcPr>
            <w:tcW w:w="260" w:type="dxa"/>
            <w:vAlign w:val="bottom"/>
          </w:tcPr>
          <w:p>
            <w:pPr>
              <w:spacing w:after="0"/>
              <w:rPr>
                <w:sz w:val="18"/>
                <w:szCs w:val="18"/>
                <w:color w:val="auto"/>
              </w:rPr>
            </w:pPr>
          </w:p>
        </w:tc>
        <w:tc>
          <w:tcPr>
            <w:tcW w:w="74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(Non-</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(GAAP)</w:t>
            </w:r>
          </w:p>
        </w:tc>
        <w:tc>
          <w:tcPr>
            <w:tcW w:w="20" w:type="dxa"/>
            <w:vAlign w:val="bottom"/>
          </w:tcPr>
          <w:p>
            <w:pPr>
              <w:spacing w:after="0"/>
              <w:rPr>
                <w:sz w:val="20"/>
                <w:szCs w:val="20"/>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Charges (a)</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Initiative Costs (b)</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(d)</w:t>
            </w: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GAAP)</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140,168</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113,390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right w:val="single" w:sz="8" w:color="CCEEFF"/>
            </w:tcBorders>
            <w:vMerge w:val="continue"/>
            <w:shd w:val="clear" w:color="auto" w:fill="CCEEFF"/>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w w:val="88"/>
              </w:rPr>
              <w:t>Taxes on income</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32,875</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(e)</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23,613</w:t>
            </w: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8,750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89,777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107,293</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380" w:type="dxa"/>
            <w:vAlign w:val="bottom"/>
            <w:gridSpan w:val="3"/>
          </w:tcPr>
          <w:p>
            <w:pPr>
              <w:spacing w:after="0"/>
              <w:rPr>
                <w:sz w:val="20"/>
                <w:szCs w:val="20"/>
                <w:color w:val="auto"/>
              </w:rPr>
            </w:pPr>
            <w:r>
              <w:rPr>
                <w:rFonts w:ascii="Arial" w:cs="Arial" w:eastAsia="Arial" w:hAnsi="Arial"/>
                <w:sz w:val="18"/>
                <w:szCs w:val="18"/>
                <w:b w:val="1"/>
                <w:bCs w:val="1"/>
                <w:color w:val="auto"/>
              </w:rPr>
              <w:t>____________________</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Accelerated depreciation costs related to restructuring initiatives.</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Accelerated depreciation costs in Asia.</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Transaction costs related to the acquisition of David Michael.</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Legal charge related to reserve for the ZoomEssence case.</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 tax effects are calculated based upon the specific rate of the applicable jurisdiction of the items.</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746"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Three Months Ended September 30, 2015</w:t>
      </w:r>
    </w:p>
    <w:p>
      <w:pPr>
        <w:spacing w:after="0" w:line="171"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5"/>
          </w:tcPr>
          <w:p>
            <w:pPr>
              <w:jc w:val="center"/>
              <w:ind w:right="450"/>
              <w:spacing w:after="0"/>
              <w:rPr>
                <w:sz w:val="20"/>
                <w:szCs w:val="20"/>
                <w:color w:val="auto"/>
              </w:rPr>
            </w:pPr>
            <w:r>
              <w:rPr>
                <w:rFonts w:ascii="Arial" w:cs="Arial" w:eastAsia="Arial" w:hAnsi="Arial"/>
                <w:sz w:val="18"/>
                <w:szCs w:val="18"/>
                <w:b w:val="1"/>
                <w:bCs w:val="1"/>
                <w:color w:val="auto"/>
                <w:w w:val="90"/>
              </w:rPr>
              <w:t>Adjusted Gross Profit</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Operational</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Reported</w:t>
            </w:r>
          </w:p>
        </w:tc>
        <w:tc>
          <w:tcPr>
            <w:tcW w:w="18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4"/>
              </w:rPr>
              <w:t>Improvement Initiative</w:t>
            </w:r>
          </w:p>
        </w:tc>
        <w:tc>
          <w:tcPr>
            <w:tcW w:w="220" w:type="dxa"/>
            <w:vAlign w:val="bottom"/>
          </w:tcPr>
          <w:p>
            <w:pPr>
              <w:spacing w:after="0"/>
              <w:rPr>
                <w:sz w:val="18"/>
                <w:szCs w:val="18"/>
                <w:color w:val="auto"/>
              </w:rPr>
            </w:pPr>
          </w:p>
        </w:tc>
        <w:tc>
          <w:tcPr>
            <w:tcW w:w="14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0"/>
              </w:rPr>
              <w:t>Acquisition and</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Adjusted (Non-</w:t>
            </w:r>
          </w:p>
        </w:tc>
      </w:tr>
      <w:tr>
        <w:trPr>
          <w:trHeight w:val="234"/>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jc w:val="right"/>
              <w:ind w:right="510"/>
              <w:spacing w:after="0"/>
              <w:rPr>
                <w:sz w:val="20"/>
                <w:szCs w:val="20"/>
                <w:color w:val="auto"/>
              </w:rPr>
            </w:pPr>
            <w:r>
              <w:rPr>
                <w:rFonts w:ascii="Arial" w:cs="Arial" w:eastAsia="Arial" w:hAnsi="Arial"/>
                <w:sz w:val="18"/>
                <w:szCs w:val="18"/>
                <w:b w:val="1"/>
                <w:bCs w:val="1"/>
                <w:color w:val="auto"/>
              </w:rPr>
              <w:t>(GAAP)</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Costs (a)</w:t>
            </w:r>
          </w:p>
        </w:tc>
        <w:tc>
          <w:tcPr>
            <w:tcW w:w="16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Related Costs (b)</w:t>
            </w:r>
          </w:p>
        </w:tc>
        <w:tc>
          <w:tcPr>
            <w:tcW w:w="120" w:type="dxa"/>
            <w:vAlign w:val="bottom"/>
          </w:tcPr>
          <w:p>
            <w:pPr>
              <w:spacing w:after="0"/>
              <w:rPr>
                <w:sz w:val="20"/>
                <w:szCs w:val="20"/>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GAAP)</w:t>
            </w: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2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347,126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2,465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349,870</w:t>
            </w:r>
          </w:p>
        </w:tc>
      </w:tr>
      <w:tr>
        <w:trPr>
          <w:trHeight w:val="59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9"/>
          </w:tcPr>
          <w:p>
            <w:pPr>
              <w:jc w:val="center"/>
              <w:ind w:left="1250"/>
              <w:spacing w:after="0"/>
              <w:rPr>
                <w:sz w:val="20"/>
                <w:szCs w:val="20"/>
                <w:color w:val="auto"/>
              </w:rPr>
            </w:pPr>
            <w:r>
              <w:rPr>
                <w:rFonts w:ascii="Arial" w:cs="Arial" w:eastAsia="Arial" w:hAnsi="Arial"/>
                <w:sz w:val="18"/>
                <w:szCs w:val="18"/>
                <w:b w:val="1"/>
                <w:bCs w:val="1"/>
                <w:color w:val="auto"/>
                <w:w w:val="89"/>
              </w:rPr>
              <w:t>Adjusted Selling and Administrative Expenses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gridSpan w:val="5"/>
          </w:tcPr>
          <w:p>
            <w:pPr>
              <w:jc w:val="center"/>
              <w:ind w:right="770"/>
              <w:spacing w:after="0"/>
              <w:rPr>
                <w:sz w:val="20"/>
                <w:szCs w:val="20"/>
                <w:color w:val="auto"/>
              </w:rPr>
            </w:pPr>
            <w:r>
              <w:rPr>
                <w:rFonts w:ascii="Arial" w:cs="Arial" w:eastAsia="Arial" w:hAnsi="Arial"/>
                <w:sz w:val="18"/>
                <w:szCs w:val="18"/>
                <w:b w:val="1"/>
                <w:bCs w:val="1"/>
                <w:color w:val="auto"/>
                <w:w w:val="89"/>
              </w:rPr>
              <w:t>Acquisition and Related</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gridSpan w:val="4"/>
          </w:tcPr>
          <w:p>
            <w:pPr>
              <w:ind w:left="200"/>
              <w:spacing w:after="0"/>
              <w:rPr>
                <w:sz w:val="20"/>
                <w:szCs w:val="20"/>
                <w:color w:val="auto"/>
              </w:rPr>
            </w:pPr>
            <w:r>
              <w:rPr>
                <w:rFonts w:ascii="Arial" w:cs="Arial" w:eastAsia="Arial" w:hAnsi="Arial"/>
                <w:sz w:val="18"/>
                <w:szCs w:val="18"/>
                <w:b w:val="1"/>
                <w:bCs w:val="1"/>
                <w:color w:val="auto"/>
              </w:rPr>
              <w:t>Reported (GAAP)</w:t>
            </w:r>
          </w:p>
        </w:tc>
        <w:tc>
          <w:tcPr>
            <w:tcW w:w="1580" w:type="dxa"/>
            <w:vAlign w:val="bottom"/>
          </w:tcPr>
          <w:p>
            <w:pPr>
              <w:jc w:val="center"/>
              <w:ind w:left="690"/>
              <w:spacing w:after="0"/>
              <w:rPr>
                <w:sz w:val="20"/>
                <w:szCs w:val="20"/>
                <w:color w:val="auto"/>
              </w:rPr>
            </w:pPr>
            <w:r>
              <w:rPr>
                <w:rFonts w:ascii="Arial" w:cs="Arial" w:eastAsia="Arial" w:hAnsi="Arial"/>
                <w:sz w:val="18"/>
                <w:szCs w:val="18"/>
                <w:b w:val="1"/>
                <w:bCs w:val="1"/>
                <w:color w:val="auto"/>
                <w:w w:val="87"/>
              </w:rPr>
              <w:t>Costs (b)</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Adjusted (Non-GAAP)</w:t>
            </w:r>
          </w:p>
        </w:tc>
      </w:tr>
      <w:tr>
        <w:trPr>
          <w:trHeight w:val="27"/>
        </w:trPr>
        <w:tc>
          <w:tcPr>
            <w:tcW w:w="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1"/>
              </w:rPr>
              <w:t>Selling and Administrative Expenses</w:t>
            </w:r>
          </w:p>
        </w:tc>
        <w:tc>
          <w:tcPr>
            <w:tcW w:w="17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122,249</w:t>
            </w:r>
          </w:p>
        </w:tc>
        <w:tc>
          <w:tcPr>
            <w:tcW w:w="15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4"/>
            <w:shd w:val="clear" w:color="auto" w:fill="CCEEFF"/>
          </w:tcPr>
          <w:p>
            <w:pPr>
              <w:jc w:val="right"/>
              <w:ind w:right="950"/>
              <w:spacing w:after="0"/>
              <w:rPr>
                <w:sz w:val="20"/>
                <w:szCs w:val="20"/>
                <w:color w:val="auto"/>
              </w:rPr>
            </w:pPr>
            <w:r>
              <w:rPr>
                <w:rFonts w:ascii="Arial" w:cs="Arial" w:eastAsia="Arial" w:hAnsi="Arial"/>
                <w:sz w:val="18"/>
                <w:szCs w:val="18"/>
                <w:color w:val="auto"/>
              </w:rPr>
              <w:t>(4,365)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117,884</w:t>
            </w:r>
          </w:p>
        </w:tc>
      </w:tr>
      <w:tr>
        <w:trPr>
          <w:trHeight w:val="59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gridSpan w:val="5"/>
          </w:tcPr>
          <w:p>
            <w:pPr>
              <w:jc w:val="center"/>
              <w:ind w:right="450"/>
              <w:spacing w:after="0"/>
              <w:rPr>
                <w:sz w:val="20"/>
                <w:szCs w:val="20"/>
                <w:color w:val="auto"/>
              </w:rPr>
            </w:pPr>
            <w:r>
              <w:rPr>
                <w:rFonts w:ascii="Arial" w:cs="Arial" w:eastAsia="Arial" w:hAnsi="Arial"/>
                <w:sz w:val="18"/>
                <w:szCs w:val="18"/>
                <w:b w:val="1"/>
                <w:bCs w:val="1"/>
                <w:color w:val="auto"/>
                <w:w w:val="93"/>
              </w:rPr>
              <w:t>Adjusted Operating Profit</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Operational</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Improvement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Acquisition</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Adjusted</w:t>
            </w:r>
          </w:p>
        </w:tc>
      </w:tr>
      <w:tr>
        <w:trPr>
          <w:trHeight w:val="234"/>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3"/>
              </w:rPr>
              <w:t>Reported (GAAP)</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Initiative Costs (a)</w:t>
            </w:r>
          </w:p>
        </w:tc>
        <w:tc>
          <w:tcPr>
            <w:tcW w:w="220" w:type="dxa"/>
            <w:vAlign w:val="bottom"/>
          </w:tcPr>
          <w:p>
            <w:pPr>
              <w:spacing w:after="0"/>
              <w:rPr>
                <w:sz w:val="20"/>
                <w:szCs w:val="20"/>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87"/>
              </w:rPr>
              <w:t>Related Costs (b)</w:t>
            </w: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5"/>
              </w:rPr>
              <w:t>(Non-GAAP)</w:t>
            </w:r>
          </w:p>
        </w:tc>
      </w:tr>
      <w:tr>
        <w:trPr>
          <w:trHeight w:val="27"/>
        </w:trPr>
        <w:tc>
          <w:tcPr>
            <w:tcW w:w="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c>
          <w:tcPr>
            <w:tcW w:w="15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156,713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6,830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163,822</w:t>
            </w:r>
          </w:p>
        </w:tc>
      </w:tr>
      <w:tr>
        <w:trPr>
          <w:trHeight w:val="59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gridSpan w:val="5"/>
          </w:tcPr>
          <w:p>
            <w:pPr>
              <w:jc w:val="center"/>
              <w:ind w:right="470"/>
              <w:spacing w:after="0"/>
              <w:rPr>
                <w:sz w:val="20"/>
                <w:szCs w:val="20"/>
                <w:color w:val="auto"/>
              </w:rPr>
            </w:pPr>
            <w:r>
              <w:rPr>
                <w:rFonts w:ascii="Arial" w:cs="Arial" w:eastAsia="Arial" w:hAnsi="Arial"/>
                <w:sz w:val="18"/>
                <w:szCs w:val="18"/>
                <w:b w:val="1"/>
                <w:bCs w:val="1"/>
                <w:color w:val="auto"/>
                <w:w w:val="90"/>
              </w:rPr>
              <w:t>Adjusted Net Income</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Operational</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Acquisition</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Improvement Initiative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Related Costs</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Adjusted</w:t>
            </w:r>
          </w:p>
        </w:tc>
      </w:tr>
      <w:tr>
        <w:trPr>
          <w:trHeight w:val="234"/>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Reported (GAAP)</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Costs (a)</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7"/>
              </w:rPr>
              <w:t>(Non-GAAP)</w:t>
            </w:r>
          </w:p>
        </w:tc>
      </w:tr>
      <w:tr>
        <w:trPr>
          <w:trHeight w:val="27"/>
        </w:trPr>
        <w:tc>
          <w:tcPr>
            <w:tcW w:w="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c>
          <w:tcPr>
            <w:tcW w:w="15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142,899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6,830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150,008</w:t>
            </w:r>
          </w:p>
        </w:tc>
      </w:tr>
      <w:tr>
        <w:trPr>
          <w:trHeight w:val="243"/>
        </w:trPr>
        <w:tc>
          <w:tcPr>
            <w:tcW w:w="20" w:type="dxa"/>
            <w:vAlign w:val="bottom"/>
          </w:tcPr>
          <w:p>
            <w:pPr>
              <w:spacing w:after="0"/>
              <w:rPr>
                <w:sz w:val="21"/>
                <w:szCs w:val="21"/>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Taxes on income (c)</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36,452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70</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829</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37,351</w:t>
            </w:r>
          </w:p>
        </w:tc>
      </w:tr>
      <w:tr>
        <w:trPr>
          <w:trHeight w:val="27"/>
        </w:trPr>
        <w:tc>
          <w:tcPr>
            <w:tcW w:w="20" w:type="dxa"/>
            <w:vAlign w:val="bottom"/>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106,447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112,657</w:t>
            </w:r>
          </w:p>
        </w:tc>
      </w:tr>
      <w:tr>
        <w:trPr>
          <w:trHeight w:val="27"/>
        </w:trPr>
        <w:tc>
          <w:tcPr>
            <w:tcW w:w="20" w:type="dxa"/>
            <w:vAlign w:val="bottom"/>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b w:val="1"/>
          <w:bCs w:val="1"/>
          <w:color w:val="auto"/>
        </w:rPr>
        <w:t>____________________</w:t>
      </w:r>
    </w:p>
    <w:p>
      <w:pPr>
        <w:spacing w:after="0" w:line="9"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Related to a partial plant closing in Asia.</w:t>
      </w:r>
    </w:p>
    <w:p>
      <w:pPr>
        <w:spacing w:after="0" w:line="9" w:lineRule="exact"/>
        <w:rPr>
          <w:rFonts w:ascii="Arial" w:cs="Arial" w:eastAsia="Arial" w:hAnsi="Arial"/>
          <w:sz w:val="18"/>
          <w:szCs w:val="18"/>
          <w:color w:val="auto"/>
        </w:rPr>
      </w:pPr>
    </w:p>
    <w:p>
      <w:pPr>
        <w:ind w:firstLine="8"/>
        <w:spacing w:after="0" w:line="250"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Transaction costs related to acquisitions (Ottens Flavors and Lucas Meyer) as well as expense related to the fair value step up of inventory on the Lucas Meyer acquisition.</w:t>
      </w: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tax effects are calculated based upon the specific rate of the applicable jurisdiction of the items.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0"/>
              </w:rPr>
              <w:t>Nine Months Ended September 30, 2016</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1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Adjusted Gross Profit</w:t>
            </w: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4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1"/>
              </w:rPr>
              <w:t>Restructuring</w:t>
            </w: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Operational</w:t>
            </w:r>
          </w:p>
        </w:tc>
        <w:tc>
          <w:tcPr>
            <w:tcW w:w="1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91"/>
              </w:rPr>
              <w:t>Reported</w:t>
            </w:r>
          </w:p>
        </w:tc>
        <w:tc>
          <w:tcPr>
            <w:tcW w:w="60" w:type="dxa"/>
            <w:vAlign w:val="bottom"/>
          </w:tcPr>
          <w:p>
            <w:pPr>
              <w:spacing w:after="0"/>
              <w:rPr>
                <w:sz w:val="18"/>
                <w:szCs w:val="18"/>
                <w:color w:val="auto"/>
              </w:rPr>
            </w:pPr>
          </w:p>
        </w:tc>
        <w:tc>
          <w:tcPr>
            <w:tcW w:w="1120" w:type="dxa"/>
            <w:vAlign w:val="bottom"/>
          </w:tcPr>
          <w:p>
            <w:pPr>
              <w:jc w:val="center"/>
              <w:ind w:right="230"/>
              <w:spacing w:after="0"/>
              <w:rPr>
                <w:sz w:val="20"/>
                <w:szCs w:val="20"/>
                <w:color w:val="auto"/>
              </w:rPr>
            </w:pPr>
            <w:r>
              <w:rPr>
                <w:rFonts w:ascii="Arial" w:cs="Arial" w:eastAsia="Arial" w:hAnsi="Arial"/>
                <w:sz w:val="18"/>
                <w:szCs w:val="18"/>
                <w:b w:val="1"/>
                <w:bCs w:val="1"/>
                <w:color w:val="auto"/>
                <w:w w:val="94"/>
              </w:rPr>
              <w:t>and Other</w:t>
            </w: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Improvement</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Acquisition</w:t>
            </w: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99"/>
              </w:rPr>
              <w:t>(GAAP)</w:t>
            </w:r>
          </w:p>
        </w:tc>
        <w:tc>
          <w:tcPr>
            <w:tcW w:w="118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8"/>
              </w:rPr>
              <w:t>Charges (a)</w:t>
            </w: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Initiative Costs (b)</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8"/>
              </w:rPr>
              <w:t>Related Costs (c)</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(Non-GAAP)</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right w:val="single" w:sz="8" w:color="CCEEFF"/>
            </w:tcBorders>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1,072,117</w:t>
            </w:r>
          </w:p>
        </w:tc>
        <w:tc>
          <w:tcPr>
            <w:tcW w:w="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left="650"/>
              <w:spacing w:after="0"/>
              <w:rPr>
                <w:sz w:val="20"/>
                <w:szCs w:val="20"/>
                <w:color w:val="auto"/>
              </w:rPr>
            </w:pPr>
            <w:r>
              <w:rPr>
                <w:rFonts w:ascii="Arial" w:cs="Arial" w:eastAsia="Arial" w:hAnsi="Arial"/>
                <w:sz w:val="18"/>
                <w:szCs w:val="18"/>
                <w:color w:val="auto"/>
                <w:w w:val="86"/>
              </w:rPr>
              <w:t>473</w:t>
            </w: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1,890</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1,075,369</w:t>
            </w:r>
          </w:p>
        </w:tc>
        <w:tc>
          <w:tcPr>
            <w:tcW w:w="0" w:type="dxa"/>
            <w:vAlign w:val="bottom"/>
          </w:tcPr>
          <w:p>
            <w:pPr>
              <w:spacing w:after="0"/>
              <w:rPr>
                <w:sz w:val="1"/>
                <w:szCs w:val="1"/>
                <w:color w:val="auto"/>
              </w:rPr>
            </w:pPr>
          </w:p>
        </w:tc>
      </w:tr>
      <w:tr>
        <w:trPr>
          <w:trHeight w:val="594"/>
        </w:trPr>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20" w:type="dxa"/>
            <w:vAlign w:val="bottom"/>
            <w:gridSpan w:val="4"/>
          </w:tcPr>
          <w:p>
            <w:pPr>
              <w:jc w:val="center"/>
              <w:ind w:left="190"/>
              <w:spacing w:after="0"/>
              <w:rPr>
                <w:sz w:val="20"/>
                <w:szCs w:val="20"/>
                <w:color w:val="auto"/>
              </w:rPr>
            </w:pPr>
            <w:r>
              <w:rPr>
                <w:rFonts w:ascii="Arial" w:cs="Arial" w:eastAsia="Arial" w:hAnsi="Arial"/>
                <w:sz w:val="18"/>
                <w:szCs w:val="18"/>
                <w:b w:val="1"/>
                <w:bCs w:val="1"/>
                <w:color w:val="auto"/>
                <w:w w:val="90"/>
              </w:rPr>
              <w:t>Adjusted Selling and Administrative Expense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3"/>
              </w:rPr>
              <w:t>Operational</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Acquisition</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Legal</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Reported</w:t>
            </w:r>
          </w:p>
        </w:tc>
        <w:tc>
          <w:tcPr>
            <w:tcW w:w="6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Improvement</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2"/>
              </w:rPr>
              <w:t>Related</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Charges/Credits</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Adjusted</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(GAAP)</w:t>
            </w:r>
          </w:p>
        </w:tc>
        <w:tc>
          <w:tcPr>
            <w:tcW w:w="60" w:type="dxa"/>
            <w:vAlign w:val="bottom"/>
          </w:tcPr>
          <w:p>
            <w:pPr>
              <w:spacing w:after="0"/>
              <w:rPr>
                <w:sz w:val="20"/>
                <w:szCs w:val="20"/>
                <w:color w:val="auto"/>
              </w:rPr>
            </w:pPr>
          </w:p>
        </w:tc>
        <w:tc>
          <w:tcPr>
            <w:tcW w:w="17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0"/>
              </w:rPr>
              <w:t>Initiative Costs (b)</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5"/>
              </w:rPr>
              <w:t>Costs (c)</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7"/>
              </w:rPr>
              <w:t>(Non-GAAP)</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20" w:type="dxa"/>
            <w:vAlign w:val="bottom"/>
          </w:tcPr>
          <w:p>
            <w:pPr>
              <w:spacing w:after="0"/>
              <w:rPr>
                <w:sz w:val="19"/>
                <w:szCs w:val="19"/>
                <w:color w:val="auto"/>
              </w:rPr>
            </w:pPr>
          </w:p>
        </w:tc>
        <w:tc>
          <w:tcPr>
            <w:tcW w:w="2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Selling and Administrative</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383,697</w:t>
            </w: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7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408,372</w:t>
            </w:r>
          </w:p>
        </w:tc>
        <w:tc>
          <w:tcPr>
            <w:tcW w:w="1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w:t>
            </w:r>
          </w:p>
        </w:tc>
        <w:tc>
          <w:tcPr>
            <w:tcW w:w="1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(23,518)</w:t>
            </w:r>
          </w:p>
        </w:tc>
        <w:tc>
          <w:tcPr>
            <w:tcW w:w="118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6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Adjusted Operating Income</w:t>
            </w: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1"/>
              </w:rPr>
              <w:t>Restructuring</w:t>
            </w:r>
          </w:p>
        </w:tc>
        <w:tc>
          <w:tcPr>
            <w:tcW w:w="6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Operational</w:t>
            </w: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Acquisition</w:t>
            </w:r>
          </w:p>
        </w:tc>
        <w:tc>
          <w:tcPr>
            <w:tcW w:w="14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Legal</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Reported</w:t>
            </w:r>
          </w:p>
        </w:tc>
        <w:tc>
          <w:tcPr>
            <w:tcW w:w="142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4"/>
              </w:rPr>
              <w:t>and Other</w:t>
            </w:r>
          </w:p>
        </w:tc>
        <w:tc>
          <w:tcPr>
            <w:tcW w:w="6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Improvement</w:t>
            </w: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Related</w:t>
            </w:r>
          </w:p>
        </w:tc>
        <w:tc>
          <w:tcPr>
            <w:tcW w:w="14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Charges/Credits</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Adjusted</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(GAAP)</w:t>
            </w:r>
          </w:p>
        </w:tc>
        <w:tc>
          <w:tcPr>
            <w:tcW w:w="142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8"/>
              </w:rPr>
              <w:t>Charges (a)</w:t>
            </w:r>
          </w:p>
        </w:tc>
        <w:tc>
          <w:tcPr>
            <w:tcW w:w="60" w:type="dxa"/>
            <w:vAlign w:val="bottom"/>
          </w:tcPr>
          <w:p>
            <w:pPr>
              <w:spacing w:after="0"/>
              <w:rPr>
                <w:sz w:val="20"/>
                <w:szCs w:val="20"/>
                <w:color w:val="auto"/>
              </w:rPr>
            </w:pPr>
          </w:p>
        </w:tc>
        <w:tc>
          <w:tcPr>
            <w:tcW w:w="1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Initiative Costs (b)</w:t>
            </w: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Costs (c)</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5"/>
              </w:rPr>
              <w:t>(Non-GAAP)</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120" w:type="dxa"/>
            <w:vAlign w:val="bottom"/>
          </w:tcPr>
          <w:p>
            <w:pPr>
              <w:spacing w:after="0"/>
              <w:rPr>
                <w:sz w:val="21"/>
                <w:szCs w:val="21"/>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Operating profit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456,034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7"/>
              </w:rPr>
              <w:t>1,901</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2,035</w:t>
            </w: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23,518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483,961</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240" w:top="580" w:right="39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60"/>
          </w:cols>
          <w:pgMar w:left="240" w:top="580" w:right="399" w:bottom="1440" w:gutter="0" w:footer="0" w:header="0"/>
          <w:type w:val="continuous"/>
        </w:sectPr>
      </w:pPr>
    </w:p>
    <w:bookmarkStart w:id="33" w:name="page34"/>
    <w:bookmarkEnd w:id="33"/>
    <w:tbl>
      <w:tblPr>
        <w:tblLayout w:type="fixed"/>
        <w:tblInd w:w="112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gridSpan w:val="4"/>
          </w:tcPr>
          <w:p>
            <w:pPr>
              <w:ind w:left="700"/>
              <w:spacing w:after="0"/>
              <w:rPr>
                <w:sz w:val="20"/>
                <w:szCs w:val="20"/>
                <w:color w:val="auto"/>
              </w:rPr>
            </w:pPr>
            <w:r>
              <w:rPr>
                <w:rFonts w:ascii="Arial" w:cs="Arial" w:eastAsia="Arial" w:hAnsi="Arial"/>
                <w:sz w:val="18"/>
                <w:szCs w:val="18"/>
                <w:b w:val="1"/>
                <w:bCs w:val="1"/>
                <w:color w:val="auto"/>
              </w:rPr>
              <w:t>Adjusted Net Income</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15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Restructuring</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Operational</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Acquisition</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Legal</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Adjusted</w:t>
            </w:r>
          </w:p>
        </w:tc>
      </w:tr>
      <w:tr>
        <w:trPr>
          <w:trHeight w:val="216"/>
        </w:trPr>
        <w:tc>
          <w:tcPr>
            <w:tcW w:w="152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Reported</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and Other</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Improvement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Related Costs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Charges/Credits</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3"/>
              </w:rPr>
              <w:t>(Non-</w:t>
            </w:r>
          </w:p>
        </w:tc>
      </w:tr>
      <w:tr>
        <w:trPr>
          <w:trHeight w:val="234"/>
        </w:trPr>
        <w:tc>
          <w:tcPr>
            <w:tcW w:w="1520" w:type="dxa"/>
            <w:vAlign w:val="bottom"/>
          </w:tcPr>
          <w:p>
            <w:pPr>
              <w:spacing w:after="0"/>
              <w:rPr>
                <w:sz w:val="20"/>
                <w:szCs w:val="20"/>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(GAAP)</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Charges (a)</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Initiative Costs (b)</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9"/>
              </w:rPr>
              <w:t>GAAP)</w:t>
            </w:r>
          </w:p>
        </w:tc>
      </w:tr>
      <w:tr>
        <w:trPr>
          <w:trHeight w:val="27"/>
        </w:trPr>
        <w:tc>
          <w:tcPr>
            <w:tcW w:w="1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Income before taxes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420,337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23,518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448,264</w:t>
            </w:r>
          </w:p>
        </w:tc>
      </w:tr>
      <w:tr>
        <w:trPr>
          <w:trHeight w:val="243"/>
        </w:trPr>
        <w:tc>
          <w:tcPr>
            <w:tcW w:w="1520" w:type="dxa"/>
            <w:vAlign w:val="bottom"/>
          </w:tcPr>
          <w:p>
            <w:pPr>
              <w:jc w:val="right"/>
              <w:spacing w:after="0"/>
              <w:rPr>
                <w:sz w:val="20"/>
                <w:szCs w:val="20"/>
                <w:color w:val="auto"/>
              </w:rPr>
            </w:pPr>
            <w:r>
              <w:rPr>
                <w:rFonts w:ascii="Arial" w:cs="Arial" w:eastAsia="Arial" w:hAnsi="Arial"/>
                <w:sz w:val="18"/>
                <w:szCs w:val="18"/>
                <w:color w:val="auto"/>
                <w:w w:val="90"/>
              </w:rPr>
              <w:t>Taxes on income (e)</w:t>
            </w:r>
          </w:p>
        </w:tc>
        <w:tc>
          <w:tcPr>
            <w:tcW w:w="860" w:type="dxa"/>
            <w:vAlign w:val="bottom"/>
          </w:tcPr>
          <w:p>
            <w:pPr>
              <w:jc w:val="right"/>
              <w:spacing w:after="0"/>
              <w:rPr>
                <w:sz w:val="20"/>
                <w:szCs w:val="20"/>
                <w:color w:val="auto"/>
              </w:rPr>
            </w:pPr>
            <w:r>
              <w:rPr>
                <w:rFonts w:ascii="Arial" w:cs="Arial" w:eastAsia="Arial" w:hAnsi="Arial"/>
                <w:sz w:val="18"/>
                <w:szCs w:val="18"/>
                <w:color w:val="auto"/>
              </w:rPr>
              <w:t>95,223</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8,339</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104,669</w:t>
            </w:r>
          </w:p>
        </w:tc>
      </w:tr>
      <w:tr>
        <w:trPr>
          <w:trHeight w:val="27"/>
        </w:trPr>
        <w:tc>
          <w:tcPr>
            <w:tcW w:w="15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Net income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325,114</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15,179</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343,595</w:t>
            </w:r>
          </w:p>
        </w:tc>
      </w:tr>
      <w:tr>
        <w:trPr>
          <w:trHeight w:val="27"/>
        </w:trPr>
        <w:tc>
          <w:tcPr>
            <w:tcW w:w="15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b w:val="1"/>
          <w:bCs w:val="1"/>
          <w:color w:val="auto"/>
        </w:rPr>
        <w:t>____________________</w:t>
      </w:r>
    </w:p>
    <w:p>
      <w:pPr>
        <w:spacing w:after="0" w:line="9"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Accelerated depreciation and severance costs related to restructuring initiatives.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Accelerated depreciation and severance costs in Asia.</w:t>
      </w:r>
    </w:p>
    <w:p>
      <w:pPr>
        <w:spacing w:after="0" w:line="9" w:lineRule="exact"/>
        <w:rPr>
          <w:rFonts w:ascii="Arial" w:cs="Arial" w:eastAsia="Arial" w:hAnsi="Arial"/>
          <w:sz w:val="18"/>
          <w:szCs w:val="18"/>
          <w:i w:val="1"/>
          <w:iCs w:val="1"/>
          <w:color w:val="auto"/>
        </w:rPr>
      </w:pPr>
    </w:p>
    <w:p>
      <w:pPr>
        <w:ind w:firstLine="8"/>
        <w:spacing w:after="0" w:line="250" w:lineRule="auto"/>
        <w:tabs>
          <w:tab w:leader="none" w:pos="24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Expense related to the fair value step up of inventory and additional transaction costs related to acquisition of Lucas Meyer as well as transaction costs related to the acquisition of David Michael.</w:t>
      </w:r>
    </w:p>
    <w:p>
      <w:pPr>
        <w:ind w:right="20" w:firstLine="8"/>
        <w:spacing w:after="0" w:line="250" w:lineRule="auto"/>
        <w:tabs>
          <w:tab w:leader="none" w:pos="25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legal charge related to reserve for the ZoomEssence case as well as settlements due to favorable tax rulings in jurisdictions for which reserves were previously recorded for ongoing tax disputes.</w:t>
      </w:r>
    </w:p>
    <w:p>
      <w:pPr>
        <w:ind w:left="260" w:hanging="252"/>
        <w:spacing w:after="0"/>
        <w:tabs>
          <w:tab w:leader="none" w:pos="2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The tax effects are calculated based upon the specific rate of the applicable jurisdiction of the items.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gridSpan w:val="6"/>
          </w:tcPr>
          <w:p>
            <w:pPr>
              <w:spacing w:after="0"/>
              <w:rPr>
                <w:sz w:val="20"/>
                <w:szCs w:val="20"/>
                <w:color w:val="auto"/>
              </w:rPr>
            </w:pPr>
            <w:r>
              <w:rPr>
                <w:rFonts w:ascii="Arial" w:cs="Arial" w:eastAsia="Arial" w:hAnsi="Arial"/>
                <w:sz w:val="18"/>
                <w:szCs w:val="18"/>
                <w:b w:val="1"/>
                <w:bCs w:val="1"/>
                <w:color w:val="auto"/>
              </w:rPr>
              <w:t>Nine Months Ended September 30, 2015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99"/>
        </w:trPr>
        <w:tc>
          <w:tcPr>
            <w:tcW w:w="112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rPr>
              <w:t>Adjusted Gross Profit</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1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8"/>
        </w:trPr>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91"/>
              </w:rPr>
              <w:t>Operational</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5"/>
          </w:tcPr>
          <w:p>
            <w:pPr>
              <w:jc w:val="center"/>
              <w:ind w:left="70"/>
              <w:spacing w:after="0"/>
              <w:rPr>
                <w:sz w:val="20"/>
                <w:szCs w:val="20"/>
                <w:color w:val="auto"/>
              </w:rPr>
            </w:pPr>
            <w:r>
              <w:rPr>
                <w:rFonts w:ascii="Arial" w:cs="Arial" w:eastAsia="Arial" w:hAnsi="Arial"/>
                <w:sz w:val="18"/>
                <w:szCs w:val="18"/>
                <w:b w:val="1"/>
                <w:bCs w:val="1"/>
                <w:color w:val="auto"/>
                <w:w w:val="94"/>
              </w:rPr>
              <w:t>Improvement Initiative</w:t>
            </w: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Acquisition Related</w:t>
            </w:r>
          </w:p>
        </w:tc>
        <w:tc>
          <w:tcPr>
            <w:tcW w:w="142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1"/>
              </w:rPr>
              <w:t>Adjusted (Non-</w:t>
            </w:r>
          </w:p>
        </w:tc>
      </w:tr>
      <w:tr>
        <w:trPr>
          <w:trHeight w:val="234"/>
        </w:trPr>
        <w:tc>
          <w:tcPr>
            <w:tcW w:w="1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5"/>
          </w:tcPr>
          <w:p>
            <w:pPr>
              <w:ind w:left="20"/>
              <w:spacing w:after="0"/>
              <w:rPr>
                <w:sz w:val="20"/>
                <w:szCs w:val="20"/>
                <w:color w:val="auto"/>
              </w:rPr>
            </w:pPr>
            <w:r>
              <w:rPr>
                <w:rFonts w:ascii="Arial" w:cs="Arial" w:eastAsia="Arial" w:hAnsi="Arial"/>
                <w:sz w:val="18"/>
                <w:szCs w:val="18"/>
                <w:b w:val="1"/>
                <w:bCs w:val="1"/>
                <w:color w:val="auto"/>
                <w:w w:val="93"/>
              </w:rPr>
              <w:t>Reported (GAAP)</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7"/>
              </w:rPr>
              <w:t>Costs (b)</w:t>
            </w:r>
          </w:p>
        </w:tc>
        <w:tc>
          <w:tcPr>
            <w:tcW w:w="400" w:type="dxa"/>
            <w:vAlign w:val="bottom"/>
          </w:tcPr>
          <w:p>
            <w:pPr>
              <w:spacing w:after="0"/>
              <w:rPr>
                <w:sz w:val="20"/>
                <w:szCs w:val="20"/>
                <w:color w:val="auto"/>
              </w:rPr>
            </w:pPr>
          </w:p>
        </w:tc>
        <w:tc>
          <w:tcPr>
            <w:tcW w:w="174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Costs (c)</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GAAP)</w:t>
            </w:r>
          </w:p>
        </w:tc>
      </w:tr>
      <w:tr>
        <w:trPr>
          <w:trHeight w:val="27"/>
        </w:trPr>
        <w:tc>
          <w:tcPr>
            <w:tcW w:w="1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20" w:type="dxa"/>
            <w:vAlign w:val="bottom"/>
            <w:tcBorders>
              <w:right w:val="single" w:sz="8" w:color="CCEEFF"/>
            </w:tcBorders>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1,038,443</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1,042,593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594"/>
        </w:trPr>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40" w:type="dxa"/>
            <w:vAlign w:val="bottom"/>
            <w:gridSpan w:val="7"/>
          </w:tcPr>
          <w:p>
            <w:pPr>
              <w:jc w:val="right"/>
              <w:spacing w:after="0"/>
              <w:rPr>
                <w:sz w:val="20"/>
                <w:szCs w:val="20"/>
                <w:color w:val="auto"/>
              </w:rPr>
            </w:pPr>
            <w:r>
              <w:rPr>
                <w:rFonts w:ascii="Arial" w:cs="Arial" w:eastAsia="Arial" w:hAnsi="Arial"/>
                <w:sz w:val="18"/>
                <w:szCs w:val="18"/>
                <w:b w:val="1"/>
                <w:bCs w:val="1"/>
                <w:color w:val="auto"/>
                <w:w w:val="90"/>
              </w:rPr>
              <w:t>Adjusted Selling and Administrative Expense</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1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1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b w:val="1"/>
                <w:bCs w:val="1"/>
                <w:color w:val="auto"/>
                <w:w w:val="93"/>
              </w:rPr>
              <w:t>Reported (GAAP)</w:t>
            </w:r>
          </w:p>
        </w:tc>
        <w:tc>
          <w:tcPr>
            <w:tcW w:w="262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8"/>
              </w:rPr>
              <w:t>Acquisition Related Costs (c)</w:t>
            </w:r>
          </w:p>
        </w:tc>
        <w:tc>
          <w:tcPr>
            <w:tcW w:w="2340" w:type="dxa"/>
            <w:vAlign w:val="bottom"/>
            <w:gridSpan w:val="5"/>
          </w:tcPr>
          <w:p>
            <w:pPr>
              <w:ind w:left="320"/>
              <w:spacing w:after="0"/>
              <w:rPr>
                <w:sz w:val="20"/>
                <w:szCs w:val="20"/>
                <w:color w:val="auto"/>
              </w:rPr>
            </w:pPr>
            <w:r>
              <w:rPr>
                <w:rFonts w:ascii="Arial" w:cs="Arial" w:eastAsia="Arial" w:hAnsi="Arial"/>
                <w:sz w:val="18"/>
                <w:szCs w:val="18"/>
                <w:b w:val="1"/>
                <w:bCs w:val="1"/>
                <w:color w:val="auto"/>
              </w:rPr>
              <w:t>Adjusted (Non-GAAP)</w:t>
            </w:r>
          </w:p>
        </w:tc>
      </w:tr>
      <w:tr>
        <w:trPr>
          <w:trHeight w:val="27"/>
        </w:trPr>
        <w:tc>
          <w:tcPr>
            <w:tcW w:w="1120" w:type="dxa"/>
            <w:vAlign w:val="bottom"/>
          </w:tcPr>
          <w:p>
            <w:pPr>
              <w:spacing w:after="0"/>
              <w:rPr>
                <w:sz w:val="2"/>
                <w:szCs w:val="2"/>
                <w:color w:val="auto"/>
              </w:rPr>
            </w:pPr>
          </w:p>
        </w:tc>
        <w:tc>
          <w:tcPr>
            <w:tcW w:w="19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20" w:type="dxa"/>
            <w:vAlign w:val="bottom"/>
            <w:tcBorders>
              <w:right w:val="single" w:sz="8" w:color="CCEEFF"/>
            </w:tcBorders>
          </w:tcPr>
          <w:p>
            <w:pPr>
              <w:spacing w:after="0"/>
              <w:rPr>
                <w:sz w:val="21"/>
                <w:szCs w:val="21"/>
                <w:color w:val="auto"/>
              </w:rPr>
            </w:pPr>
          </w:p>
        </w:tc>
        <w:tc>
          <w:tcPr>
            <w:tcW w:w="286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w w:val="97"/>
              </w:rPr>
              <w:t>Selling and Administrative Expenses</w:t>
            </w:r>
          </w:p>
        </w:tc>
        <w:tc>
          <w:tcPr>
            <w:tcW w:w="14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372,267</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(10,587)</w:t>
            </w: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361,680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594"/>
        </w:trPr>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rPr>
              <w:t>Adjusted Operating Income</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1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8"/>
        </w:trPr>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w w:val="91"/>
              </w:rPr>
              <w:t>Restructuring</w:t>
            </w:r>
          </w:p>
        </w:tc>
        <w:tc>
          <w:tcPr>
            <w:tcW w:w="140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93"/>
              </w:rPr>
              <w:t>Operational</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1"/>
              </w:rPr>
              <w:t>Reported</w:t>
            </w:r>
          </w:p>
        </w:tc>
        <w:tc>
          <w:tcPr>
            <w:tcW w:w="140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w w:val="94"/>
              </w:rPr>
              <w:t>and Other</w:t>
            </w:r>
          </w:p>
        </w:tc>
        <w:tc>
          <w:tcPr>
            <w:tcW w:w="1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Improvement</w:t>
            </w:r>
          </w:p>
        </w:tc>
        <w:tc>
          <w:tcPr>
            <w:tcW w:w="17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4"/>
              </w:rPr>
              <w:t>Acquisition Related</w:t>
            </w:r>
          </w:p>
        </w:tc>
        <w:tc>
          <w:tcPr>
            <w:tcW w:w="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Adjusted (Non-</w:t>
            </w:r>
          </w:p>
        </w:tc>
      </w:tr>
      <w:tr>
        <w:trPr>
          <w:trHeight w:val="234"/>
        </w:trPr>
        <w:tc>
          <w:tcPr>
            <w:tcW w:w="1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6"/>
              </w:rPr>
              <w:t>(GAAP)</w:t>
            </w:r>
          </w:p>
        </w:tc>
        <w:tc>
          <w:tcPr>
            <w:tcW w:w="140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w w:val="88"/>
              </w:rPr>
              <w:t>Charges (a)</w:t>
            </w:r>
          </w:p>
        </w:tc>
        <w:tc>
          <w:tcPr>
            <w:tcW w:w="1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Initiative Costs (b)</w:t>
            </w:r>
          </w:p>
        </w:tc>
        <w:tc>
          <w:tcPr>
            <w:tcW w:w="174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Costs (c)</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GAAP)</w:t>
            </w:r>
          </w:p>
        </w:tc>
      </w:tr>
      <w:tr>
        <w:trPr>
          <w:trHeight w:val="27"/>
        </w:trPr>
        <w:tc>
          <w:tcPr>
            <w:tcW w:w="1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20" w:type="dxa"/>
            <w:vAlign w:val="bottom"/>
          </w:tcPr>
          <w:p>
            <w:pPr>
              <w:spacing w:after="0"/>
              <w:rPr>
                <w:sz w:val="21"/>
                <w:szCs w:val="21"/>
                <w:color w:val="auto"/>
              </w:rPr>
            </w:pPr>
          </w:p>
        </w:tc>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1280" w:type="dxa"/>
            <w:vAlign w:val="bottom"/>
            <w:tcBorders>
              <w:bottom w:val="single" w:sz="8" w:color="CCEEFF"/>
            </w:tcBorders>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467,328</w:t>
            </w: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(170)</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841</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13,896</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481,895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594"/>
        </w:trPr>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Adjusted Net Income</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1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1"/>
              </w:rPr>
              <w:t>Restructuring</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Operational</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7"/>
              </w:rPr>
              <w:t>Acquisition</w:t>
            </w:r>
          </w:p>
        </w:tc>
        <w:tc>
          <w:tcPr>
            <w:tcW w:w="920" w:type="dxa"/>
            <w:vAlign w:val="bottom"/>
          </w:tcPr>
          <w:p>
            <w:pPr>
              <w:jc w:val="center"/>
              <w:ind w:left="190"/>
              <w:spacing w:after="0"/>
              <w:rPr>
                <w:sz w:val="20"/>
                <w:szCs w:val="20"/>
                <w:color w:val="auto"/>
              </w:rPr>
            </w:pPr>
            <w:r>
              <w:rPr>
                <w:rFonts w:ascii="Arial" w:cs="Arial" w:eastAsia="Arial" w:hAnsi="Arial"/>
                <w:sz w:val="18"/>
                <w:szCs w:val="18"/>
                <w:b w:val="1"/>
                <w:bCs w:val="1"/>
                <w:color w:val="auto"/>
                <w:w w:val="90"/>
              </w:rPr>
              <w:t>Tax</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Adjusted</w:t>
            </w:r>
          </w:p>
        </w:tc>
      </w:tr>
      <w:tr>
        <w:trPr>
          <w:trHeight w:val="216"/>
        </w:trPr>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w w:val="96"/>
              </w:rPr>
              <w:t>Reported</w:t>
            </w:r>
          </w:p>
        </w:tc>
        <w:tc>
          <w:tcPr>
            <w:tcW w:w="100" w:type="dxa"/>
            <w:vAlign w:val="bottom"/>
          </w:tcPr>
          <w:p>
            <w:pPr>
              <w:spacing w:after="0"/>
              <w:rPr>
                <w:sz w:val="18"/>
                <w:szCs w:val="18"/>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and Other</w:t>
            </w:r>
          </w:p>
        </w:tc>
        <w:tc>
          <w:tcPr>
            <w:tcW w:w="80" w:type="dxa"/>
            <w:vAlign w:val="bottom"/>
          </w:tcPr>
          <w:p>
            <w:pPr>
              <w:spacing w:after="0"/>
              <w:rPr>
                <w:sz w:val="18"/>
                <w:szCs w:val="18"/>
                <w:color w:val="auto"/>
              </w:rPr>
            </w:pPr>
          </w:p>
        </w:tc>
        <w:tc>
          <w:tcPr>
            <w:tcW w:w="17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1"/>
              </w:rPr>
              <w:t>Improvement</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9"/>
              </w:rPr>
              <w:t>Related Costs</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Settlements</w:t>
            </w:r>
          </w:p>
        </w:tc>
        <w:tc>
          <w:tcPr>
            <w:tcW w:w="10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(Non-</w:t>
            </w:r>
          </w:p>
        </w:tc>
      </w:tr>
      <w:tr>
        <w:trPr>
          <w:trHeight w:val="234"/>
        </w:trPr>
        <w:tc>
          <w:tcPr>
            <w:tcW w:w="1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(GAAP)</w:t>
            </w:r>
          </w:p>
        </w:tc>
        <w:tc>
          <w:tcPr>
            <w:tcW w:w="100" w:type="dxa"/>
            <w:vAlign w:val="bottom"/>
          </w:tcPr>
          <w:p>
            <w:pPr>
              <w:spacing w:after="0"/>
              <w:rPr>
                <w:sz w:val="20"/>
                <w:szCs w:val="20"/>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Charges (a)</w:t>
            </w:r>
          </w:p>
        </w:tc>
        <w:tc>
          <w:tcPr>
            <w:tcW w:w="80" w:type="dxa"/>
            <w:vAlign w:val="bottom"/>
          </w:tcPr>
          <w:p>
            <w:pPr>
              <w:spacing w:after="0"/>
              <w:rPr>
                <w:sz w:val="20"/>
                <w:szCs w:val="20"/>
                <w:color w:val="auto"/>
              </w:rPr>
            </w:pPr>
          </w:p>
        </w:tc>
        <w:tc>
          <w:tcPr>
            <w:tcW w:w="17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2"/>
              </w:rPr>
              <w:t>Initiative Costs (b)</w:t>
            </w:r>
          </w:p>
        </w:tc>
        <w:tc>
          <w:tcPr>
            <w:tcW w:w="400" w:type="dxa"/>
            <w:vAlign w:val="bottom"/>
          </w:tcPr>
          <w:p>
            <w:pPr>
              <w:spacing w:after="0"/>
              <w:rPr>
                <w:sz w:val="20"/>
                <w:szCs w:val="20"/>
                <w:color w:val="auto"/>
              </w:rPr>
            </w:pPr>
          </w:p>
        </w:tc>
        <w:tc>
          <w:tcPr>
            <w:tcW w:w="8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9"/>
              </w:rPr>
              <w:t>(c)</w:t>
            </w:r>
          </w:p>
        </w:tc>
        <w:tc>
          <w:tcPr>
            <w:tcW w:w="920" w:type="dxa"/>
            <w:vAlign w:val="bottom"/>
          </w:tcPr>
          <w:p>
            <w:pPr>
              <w:jc w:val="center"/>
              <w:ind w:left="210"/>
              <w:spacing w:after="0"/>
              <w:rPr>
                <w:sz w:val="20"/>
                <w:szCs w:val="20"/>
                <w:color w:val="auto"/>
              </w:rPr>
            </w:pPr>
            <w:r>
              <w:rPr>
                <w:rFonts w:ascii="Arial" w:cs="Arial" w:eastAsia="Arial" w:hAnsi="Arial"/>
                <w:sz w:val="18"/>
                <w:szCs w:val="18"/>
                <w:b w:val="1"/>
                <w:bCs w:val="1"/>
                <w:color w:val="auto"/>
                <w:w w:val="95"/>
              </w:rPr>
              <w:t>(d)</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GAAP)</w:t>
            </w:r>
          </w:p>
        </w:tc>
      </w:tr>
      <w:tr>
        <w:trPr>
          <w:trHeight w:val="27"/>
        </w:trPr>
        <w:tc>
          <w:tcPr>
            <w:tcW w:w="1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20" w:type="dxa"/>
            <w:vAlign w:val="bottom"/>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Income before taxes</w:t>
            </w:r>
          </w:p>
        </w:tc>
        <w:tc>
          <w:tcPr>
            <w:tcW w:w="8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436,286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450,853</w:t>
            </w:r>
          </w:p>
        </w:tc>
        <w:tc>
          <w:tcPr>
            <w:tcW w:w="20" w:type="dxa"/>
            <w:vAlign w:val="bottom"/>
          </w:tcPr>
          <w:p>
            <w:pPr>
              <w:spacing w:after="0"/>
              <w:rPr>
                <w:sz w:val="21"/>
                <w:szCs w:val="21"/>
                <w:color w:val="auto"/>
              </w:rPr>
            </w:pPr>
          </w:p>
        </w:tc>
      </w:tr>
      <w:tr>
        <w:trPr>
          <w:trHeight w:val="243"/>
        </w:trPr>
        <w:tc>
          <w:tcPr>
            <w:tcW w:w="1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w w:val="92"/>
              </w:rPr>
              <w:t>Taxes on income (e)</w:t>
            </w: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96,206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10,478</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108,713</w:t>
            </w:r>
          </w:p>
        </w:tc>
        <w:tc>
          <w:tcPr>
            <w:tcW w:w="20" w:type="dxa"/>
            <w:vAlign w:val="bottom"/>
          </w:tcPr>
          <w:p>
            <w:pPr>
              <w:spacing w:after="0"/>
              <w:rPr>
                <w:sz w:val="21"/>
                <w:szCs w:val="21"/>
                <w:color w:val="auto"/>
              </w:rPr>
            </w:pPr>
          </w:p>
        </w:tc>
      </w:tr>
      <w:tr>
        <w:trPr>
          <w:trHeight w:val="27"/>
        </w:trPr>
        <w:tc>
          <w:tcPr>
            <w:tcW w:w="112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1120" w:type="dxa"/>
            <w:vAlign w:val="bottom"/>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Net income</w:t>
            </w:r>
          </w:p>
        </w:tc>
        <w:tc>
          <w:tcPr>
            <w:tcW w:w="8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340,080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(10,478)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342,140</w:t>
            </w:r>
          </w:p>
        </w:tc>
        <w:tc>
          <w:tcPr>
            <w:tcW w:w="20" w:type="dxa"/>
            <w:vAlign w:val="bottom"/>
          </w:tcPr>
          <w:p>
            <w:pPr>
              <w:spacing w:after="0"/>
              <w:rPr>
                <w:sz w:val="21"/>
                <w:szCs w:val="21"/>
                <w:color w:val="auto"/>
              </w:rPr>
            </w:pPr>
          </w:p>
        </w:tc>
      </w:tr>
      <w:tr>
        <w:trPr>
          <w:trHeight w:val="218"/>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____________________</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ind w:left="260" w:hanging="252"/>
        <w:spacing w:after="0"/>
        <w:tabs>
          <w:tab w:leader="none" w:pos="2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Costs related to the Fragrance Ingredients Rationalization.</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Related to plant closings in Europe and partial closing in Asia.</w:t>
      </w:r>
    </w:p>
    <w:p>
      <w:pPr>
        <w:spacing w:after="0" w:line="9" w:lineRule="exact"/>
        <w:rPr>
          <w:rFonts w:ascii="Arial" w:cs="Arial" w:eastAsia="Arial" w:hAnsi="Arial"/>
          <w:sz w:val="18"/>
          <w:szCs w:val="18"/>
          <w:i w:val="1"/>
          <w:iCs w:val="1"/>
          <w:color w:val="auto"/>
        </w:rPr>
      </w:pPr>
    </w:p>
    <w:p>
      <w:pPr>
        <w:ind w:right="300" w:firstLine="8"/>
        <w:spacing w:after="0" w:line="250" w:lineRule="auto"/>
        <w:tabs>
          <w:tab w:leader="none" w:pos="24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Transaction costs related to acquisitions (Ottens Flavors and Lucas Meyer) as well as expense related to the fair value step up of inventory for both acquisitions.</w:t>
      </w:r>
    </w:p>
    <w:p>
      <w:pPr>
        <w:ind w:left="260" w:hanging="252"/>
        <w:spacing w:after="0"/>
        <w:tabs>
          <w:tab w:leader="none" w:pos="2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Settlements due to favorable tax rulings in jurisdictions for which reserves were previously recorded for ongoing tax disputes.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(e)The tax effects are calculated based upon the specific rate of the applicable jurisdiction of the items.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742"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B. Foreign Currency Reconciliation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5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380" w:type="dxa"/>
            <w:vAlign w:val="bottom"/>
            <w:gridSpan w:val="2"/>
          </w:tcPr>
          <w:p>
            <w:pPr>
              <w:ind w:left="12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652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 Change - Reported (GAAP)</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(21)%</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rPr>
              <w:t>(2)%</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rPr>
              <w:t>1%</w:t>
            </w:r>
          </w:p>
        </w:tc>
      </w:tr>
      <w:tr>
        <w:trPr>
          <w:trHeight w:val="27"/>
        </w:trPr>
        <w:tc>
          <w:tcPr>
            <w:tcW w:w="6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Items impacting comparability </w:t>
            </w:r>
            <w:r>
              <w:rPr>
                <w:rFonts w:ascii="Arial" w:cs="Arial" w:eastAsia="Arial" w:hAnsi="Arial"/>
                <w:sz w:val="25"/>
                <w:szCs w:val="25"/>
                <w:color w:val="auto"/>
                <w:vertAlign w:val="superscript"/>
              </w:rPr>
              <w:t>(1)</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13%</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 Change - Adjusted (Non-GAAP)</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(8)%</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7%</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rPr>
              <w:t>3%</w:t>
            </w:r>
          </w:p>
        </w:tc>
      </w:tr>
      <w:tr>
        <w:trPr>
          <w:trHeight w:val="27"/>
        </w:trPr>
        <w:tc>
          <w:tcPr>
            <w:tcW w:w="6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Impact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 Change Year-over-Year - Currency Neutral Adjusted (Non-GAAP)**</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(4)%</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10%</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rPr>
              <w:t>3%</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rPr>
              <w:t>9%</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60" w:type="dxa"/>
            <w:vAlign w:val="bottom"/>
          </w:tcPr>
          <w:p>
            <w:pPr>
              <w:spacing w:after="0"/>
              <w:rPr>
                <w:sz w:val="21"/>
                <w:szCs w:val="21"/>
                <w:color w:val="auto"/>
              </w:rPr>
            </w:pPr>
          </w:p>
        </w:tc>
      </w:tr>
    </w:tbl>
    <w:p>
      <w:pPr>
        <w:ind w:left="60" w:right="140" w:firstLine="2"/>
        <w:spacing w:after="0" w:line="250" w:lineRule="auto"/>
        <w:tabs>
          <w:tab w:leader="none" w:pos="315"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Includes $26.8 million of legal charges, acquisition-related, operational improvement initiative and restructuring costs and $7.1 million of acquisition-related and operational improvement initiative costs for the three months ended September 30, 2016 and September 30, 2015, respectively. Includes $27.9 million of legal charges, acquisition-related, operational improvement initiative and restructuring costs and $14.6 million of acquisition-related and operational improvement initiative costs as well as a reversal of restructuring costs for the nine months ended September 30, 2016 and September 30, 2015, respectively.</w:t>
      </w:r>
    </w:p>
    <w:p>
      <w:pPr>
        <w:spacing w:after="0" w:line="2" w:lineRule="exact"/>
        <w:rPr>
          <w:rFonts w:ascii="Arial" w:cs="Arial" w:eastAsia="Arial" w:hAnsi="Arial"/>
          <w:sz w:val="18"/>
          <w:szCs w:val="18"/>
          <w:color w:val="auto"/>
        </w:rPr>
      </w:pPr>
    </w:p>
    <w:p>
      <w:pPr>
        <w:ind w:left="60" w:right="200"/>
        <w:spacing w:after="0" w:line="261" w:lineRule="auto"/>
        <w:rPr>
          <w:rFonts w:ascii="Arial" w:cs="Arial" w:eastAsia="Arial" w:hAnsi="Arial"/>
          <w:sz w:val="18"/>
          <w:szCs w:val="18"/>
          <w:color w:val="auto"/>
        </w:rPr>
      </w:pPr>
      <w:r>
        <w:rPr>
          <w:rFonts w:ascii="Arial" w:cs="Arial" w:eastAsia="Arial" w:hAnsi="Arial"/>
          <w:sz w:val="18"/>
          <w:szCs w:val="18"/>
          <w:color w:val="auto"/>
        </w:rPr>
        <w:t>** Currency neutral amount is calculated by translating prior year amounts at the exchange rates used for the corresponding 2016 period. Currency neutral operating profit also eliminates the year-over-year impact of cash flow hedging.</w:t>
      </w:r>
    </w:p>
    <w:p>
      <w:pPr>
        <w:spacing w:after="0" w:line="179"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Related Intangible Asset Amortization</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Company tracks the amount of amortization recorded on recent acquisitions in order to monitor its progress with respect to its Vision 2020 goals. The following amounts were recorded with respect to recent acquisitions: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4180" w:type="dxa"/>
            <w:vAlign w:val="bottom"/>
            <w:gridSpan w:val="4"/>
          </w:tcPr>
          <w:p>
            <w:pPr>
              <w:ind w:left="920"/>
              <w:spacing w:after="0"/>
              <w:rPr>
                <w:sz w:val="20"/>
                <w:szCs w:val="20"/>
                <w:color w:val="auto"/>
              </w:rPr>
            </w:pPr>
            <w:r>
              <w:rPr>
                <w:rFonts w:ascii="Arial" w:cs="Arial" w:eastAsia="Arial" w:hAnsi="Arial"/>
                <w:sz w:val="14"/>
                <w:szCs w:val="14"/>
                <w:b w:val="1"/>
                <w:bCs w:val="1"/>
                <w:color w:val="auto"/>
              </w:rPr>
              <w:t>Three Months Ended September 30,</w:t>
            </w:r>
          </w:p>
        </w:tc>
        <w:tc>
          <w:tcPr>
            <w:tcW w:w="4040" w:type="dxa"/>
            <w:vAlign w:val="bottom"/>
            <w:gridSpan w:val="3"/>
          </w:tcPr>
          <w:p>
            <w:pPr>
              <w:ind w:left="940"/>
              <w:spacing w:after="0"/>
              <w:rPr>
                <w:sz w:val="20"/>
                <w:szCs w:val="20"/>
                <w:color w:val="auto"/>
              </w:rPr>
            </w:pPr>
            <w:r>
              <w:rPr>
                <w:rFonts w:ascii="Arial" w:cs="Arial" w:eastAsia="Arial" w:hAnsi="Arial"/>
                <w:sz w:val="14"/>
                <w:szCs w:val="14"/>
                <w:b w:val="1"/>
                <w:bCs w:val="1"/>
                <w:color w:val="auto"/>
              </w:rPr>
              <w:t>Nine Months Ended September 30,</w:t>
            </w:r>
          </w:p>
        </w:tc>
      </w:tr>
      <w:tr>
        <w:trPr>
          <w:trHeight w:val="250"/>
        </w:trPr>
        <w:tc>
          <w:tcPr>
            <w:tcW w:w="3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2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top w:val="single" w:sz="8" w:color="auto"/>
              <w:bottom w:val="single" w:sz="8" w:color="CCEEFF"/>
            </w:tcBorders>
          </w:tcPr>
          <w:p>
            <w:pPr>
              <w:spacing w:after="0"/>
              <w:rPr>
                <w:sz w:val="21"/>
                <w:szCs w:val="21"/>
                <w:color w:val="auto"/>
              </w:rPr>
            </w:pPr>
          </w:p>
        </w:tc>
        <w:tc>
          <w:tcPr>
            <w:tcW w:w="1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21"/>
                <w:szCs w:val="21"/>
                <w:color w:val="auto"/>
              </w:rPr>
            </w:pPr>
          </w:p>
        </w:tc>
        <w:tc>
          <w:tcPr>
            <w:tcW w:w="2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top w:val="single" w:sz="8" w:color="auto"/>
              <w:bottom w:val="single" w:sz="8" w:color="CCEEFF"/>
            </w:tcBorders>
          </w:tcPr>
          <w:p>
            <w:pPr>
              <w:spacing w:after="0"/>
              <w:rPr>
                <w:sz w:val="21"/>
                <w:szCs w:val="21"/>
                <w:color w:val="auto"/>
              </w:rPr>
            </w:pPr>
          </w:p>
        </w:tc>
        <w:tc>
          <w:tcPr>
            <w:tcW w:w="1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 Expense:</w:t>
            </w: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Ottens Flavors</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$1.6</w:t>
            </w:r>
          </w:p>
        </w:tc>
        <w:tc>
          <w:tcPr>
            <w:tcW w:w="12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$1.8</w:t>
            </w:r>
          </w:p>
        </w:tc>
        <w:tc>
          <w:tcPr>
            <w:tcW w:w="12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$4.8</w:t>
            </w:r>
          </w:p>
        </w:tc>
        <w:tc>
          <w:tcPr>
            <w:tcW w:w="10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$3.0</w:t>
            </w:r>
          </w:p>
        </w:tc>
      </w:tr>
      <w:tr>
        <w:trPr>
          <w:trHeight w:val="27"/>
        </w:trPr>
        <w:tc>
          <w:tcPr>
            <w:tcW w:w="30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Lucas Meyer</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1.7</w:t>
            </w:r>
          </w:p>
        </w:tc>
      </w:tr>
      <w:tr>
        <w:trPr>
          <w:trHeight w:val="837"/>
        </w:trPr>
        <w:tc>
          <w:tcPr>
            <w:tcW w:w="3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jc w:val="right"/>
              <w:ind w:right="1174"/>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ectPr>
          <w:pgSz w:w="11900" w:h="16838" w:orient="portrait"/>
          <w:cols w:equalWidth="0" w:num="1">
            <w:col w:w="11400"/>
          </w:cols>
          <w:pgMar w:left="240" w:top="580"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material changes in market risk from the information provided in our 2015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Chief Executive Officer and Chief Financial Officer with the assistance of other members of our management, have evaluated the effectiveness of our disclosure controls and procedures as of the end of the period covered by this Quarterly Report on Form 10-Q. Based on such evaluation, the Chief Executive Officer and Chief Financial Officer have concluded that our disclosure controls and procedures are effective as of the end of the period covered by this Quarterly Report on Form 10-Q.</w:t>
      </w:r>
    </w:p>
    <w:p>
      <w:pPr>
        <w:spacing w:after="0" w:line="13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have established controls and procedures designed to ensure that information required to be disclosed in the reports that we file or submit under the Securities Exchange Act of 1934, as amended, is recorded, processed, summarized and reported within the time periods specified in the Securities and Exchange Commission’s rules and forms and is accumulated and communicated to management, including the principal executive officer and the principal financial officer, to allow timely decisions regarding required disclosure.</w:t>
      </w:r>
    </w:p>
    <w:p>
      <w:pPr>
        <w:spacing w:after="0" w:line="13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Chief Executive Officer and Chief Financial Officer have also concluded that there have not been any changes in our internal control over financial reporting during the quarter ended September 30, 2016 that have materially affected, or are reasonably likely to materially affect, our internal control over financial reporting.</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7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subject to various claims and legal actions in the ordinary course of our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Claims</w:t>
      </w:r>
    </w:p>
    <w:p>
      <w:pPr>
        <w:spacing w:after="0" w:line="175"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color w:val="auto"/>
        </w:rPr>
        <w:t>The Spanish tax authorities alleged claims for a capital tax and the Appellate Court rejected one of the two bases upon which we based our capital tax position. On January 22, 2014, we filed an appeal and in order to avoid future interest costs in the event our appeal was unsuccessful, we paid Euro 9.8 million ($11.2 million, representing the principal amount) during the first quarter of 2014. On February 24, 2016, we received a favorable ruling on our appeal from the Spanish Supreme Court which overruled a lower court ruling. As a result of this decision, we reversed the previously recorded provision of Euro 9.8 million ($10.5 million) for the year ended December 31, 2015. During 2016, we recorded additional income of $2.3 million related to the finalization of amounts received from the authorities. This amount has been principally reflected as a reduction of administrative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12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We have been identified as a PRP at eight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 million.</w:t>
      </w:r>
    </w:p>
    <w:p>
      <w:pPr>
        <w:spacing w:after="0" w:line="12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823" w:right="279" w:bottom="1440" w:gutter="0" w:footer="0" w:header="0"/>
        </w:sectPr>
      </w:pPr>
    </w:p>
    <w:bookmarkStart w:id="36" w:name="page37"/>
    <w:bookmarkEnd w:id="36"/>
    <w:p>
      <w:pPr>
        <w:spacing w:after="0" w:line="209" w:lineRule="auto"/>
        <w:framePr w:w="2000" w:h="160" w:wrap="auto" w:vAnchor="page" w:hAnchor="page" w:x="1280" w:y="9825"/>
        <w:rPr>
          <w:rFonts w:ascii="Arial" w:cs="Arial" w:eastAsia="Arial" w:hAnsi="Arial"/>
          <w:sz w:val="16"/>
          <w:szCs w:val="16"/>
          <w:color w:val="auto"/>
        </w:rPr>
      </w:pPr>
      <w:r>
        <w:rPr>
          <w:rFonts w:ascii="Arial" w:cs="Arial" w:eastAsia="Arial" w:hAnsi="Arial"/>
          <w:sz w:val="16"/>
          <w:szCs w:val="16"/>
          <w:color w:val="auto"/>
        </w:rPr>
        <w:t>XBRL Instance Document</w:t>
      </w:r>
    </w:p>
    <w:p>
      <w:pPr>
        <w:spacing w:after="0" w:line="209" w:lineRule="auto"/>
        <w:framePr w:w="2820" w:h="160" w:wrap="auto" w:vAnchor="page" w:hAnchor="page" w:x="1280" w:y="10095"/>
        <w:rPr>
          <w:rFonts w:ascii="Arial" w:cs="Arial" w:eastAsia="Arial" w:hAnsi="Arial"/>
          <w:sz w:val="16"/>
          <w:szCs w:val="16"/>
          <w:color w:val="auto"/>
        </w:rPr>
      </w:pPr>
      <w:r>
        <w:rPr>
          <w:rFonts w:ascii="Arial" w:cs="Arial" w:eastAsia="Arial" w:hAnsi="Arial"/>
          <w:sz w:val="16"/>
          <w:szCs w:val="16"/>
          <w:color w:val="auto"/>
        </w:rPr>
        <w:t>XBRL Taxonomy Extensions Schema</w:t>
      </w:r>
    </w:p>
    <w:p>
      <w:pPr>
        <w:spacing w:after="0" w:line="316" w:lineRule="auto"/>
        <w:framePr w:w="3780" w:h="971" w:wrap="auto" w:vAnchor="page" w:hAnchor="page" w:x="1280" w:y="10365"/>
        <w:rPr>
          <w:rFonts w:ascii="Arial" w:cs="Arial" w:eastAsia="Arial" w:hAnsi="Arial"/>
          <w:sz w:val="16"/>
          <w:szCs w:val="16"/>
          <w:color w:val="auto"/>
        </w:rPr>
      </w:pPr>
      <w:r>
        <w:rPr>
          <w:rFonts w:ascii="Arial" w:cs="Arial" w:eastAsia="Arial" w:hAnsi="Arial"/>
          <w:sz w:val="16"/>
          <w:szCs w:val="16"/>
          <w:color w:val="auto"/>
        </w:rPr>
        <w:t>XBRL Taxonomy Extension Calculation Linkbase XBRL Taxonomy Extension Definition Linkbase XBRL Taxonomy Extension Label Linkbase XBRL Taxonomy Extension Presentation Linkbase</w:t>
      </w:r>
    </w:p>
    <w:p>
      <w:pPr>
        <w:ind w:firstLine="405"/>
        <w:spacing w:after="0" w:line="269" w:lineRule="auto"/>
        <w:rPr>
          <w:sz w:val="20"/>
          <w:szCs w:val="20"/>
          <w:color w:val="auto"/>
        </w:rPr>
      </w:pPr>
      <w:r>
        <w:rPr>
          <w:rFonts w:ascii="Arial" w:cs="Arial" w:eastAsia="Arial" w:hAnsi="Arial"/>
          <w:sz w:val="17"/>
          <w:szCs w:val="17"/>
          <w:color w:val="auto"/>
        </w:rPr>
        <w:t>In March 2012, ZoomEssence, Inc. filed a complaint against the Company in the U.S. District Court for the District of New Jersey alleging trade secret misappropriation, breach of contract and unjust enrichment in connection with certain spray dry technology disclosed to the Company. ZoomEssence is seeking an injunction and monetary damages. ZoomEssence initially sought a temporary restraining order and preliminary injunction, but the Court denied these applications in an order entered on September 27, 2013, finding that ZoomEssence had not demonstrated a likelihood of success on the merits of its claims. On November 3, 2014, ZoomEssence amended its complaint against the Company to include allegations of breach of the duty of good faith and fair dealing, fraud in the inducement, and misappropriation of confidential and proprietary information. On November 13, 2014, the Company filed a counterclaim against ZoomEssence alleging trade secret misappropriation, breach of contract, breach of the implied covenant of good faith and fair dealing, unjust enrichment, misappropriation of confidential and proprietary information, common law unfair competition, tortious interference with contractual relations, and conversion. During the third quarter of 2016, the Court stayed the case and directed the parties to engage in mediation. The mediation, which took place in October 2016, did not result in a resolution of the litigation; we cannot reliably predict the timing of a trial, but it is expected that it would take place in 2017. Based on information available and expert assessment of potential exposure, the Company recorded an additional reserve of $25 million during the three months ended September 30, 2016.</w:t>
      </w:r>
    </w:p>
    <w:p>
      <w:pPr>
        <w:spacing w:after="0" w:line="126" w:lineRule="exact"/>
        <w:rPr>
          <w:rFonts w:ascii="Arial" w:cs="Arial" w:eastAsia="Arial" w:hAnsi="Arial"/>
          <w:sz w:val="16"/>
          <w:szCs w:val="16"/>
          <w:color w:val="auto"/>
        </w:rPr>
      </w:pPr>
    </w:p>
    <w:p>
      <w:pPr>
        <w:ind w:right="480" w:firstLine="405"/>
        <w:spacing w:after="0" w:line="277" w:lineRule="auto"/>
        <w:rPr>
          <w:sz w:val="20"/>
          <w:szCs w:val="20"/>
          <w:color w:val="auto"/>
        </w:rPr>
      </w:pPr>
      <w:r>
        <w:rPr>
          <w:rFonts w:ascii="Arial" w:cs="Arial" w:eastAsia="Arial" w:hAnsi="Arial"/>
          <w:sz w:val="18"/>
          <w:szCs w:val="18"/>
          <w:color w:val="auto"/>
        </w:rPr>
        <w:t>We are also a party to other litigations arising in the ordinary course of our business. We do not expect the outcome of these cases, singly or in the aggregate, to have a material effect on our consolidated financial condition.</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117" w:lineRule="exact"/>
        <w:rPr>
          <w:rFonts w:ascii="Arial" w:cs="Arial" w:eastAsia="Arial" w:hAnsi="Arial"/>
          <w:sz w:val="16"/>
          <w:szCs w:val="16"/>
          <w:color w:val="auto"/>
        </w:rPr>
      </w:pPr>
    </w:p>
    <w:p>
      <w:pPr>
        <w:ind w:left="1440"/>
        <w:spacing w:after="0"/>
        <w:rPr>
          <w:sz w:val="20"/>
          <w:szCs w:val="20"/>
          <w:color w:val="auto"/>
        </w:rPr>
      </w:pPr>
      <w:r>
        <w:rPr>
          <w:rFonts w:ascii="Arial" w:cs="Arial" w:eastAsia="Arial" w:hAnsi="Arial"/>
          <w:sz w:val="18"/>
          <w:szCs w:val="18"/>
          <w:b w:val="1"/>
          <w:bCs w:val="1"/>
          <w:u w:val="single" w:color="auto"/>
          <w:color w:val="auto"/>
        </w:rPr>
        <w:t>(c) Issuer Purchases of Equity Securities</w:t>
      </w:r>
    </w:p>
    <w:p>
      <w:pPr>
        <w:spacing w:after="0" w:line="94"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The table below reflects shares of common stock we repurchased during the third quarter of 2016.</w:t>
      </w:r>
    </w:p>
    <w:p>
      <w:pPr>
        <w:spacing w:after="0" w:line="150"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Total Number of</w:t>
            </w:r>
          </w:p>
        </w:tc>
        <w:tc>
          <w:tcPr>
            <w:tcW w:w="340" w:type="dxa"/>
            <w:vAlign w:val="bottom"/>
          </w:tcPr>
          <w:p>
            <w:pPr>
              <w:spacing w:after="0"/>
              <w:rPr>
                <w:sz w:val="14"/>
                <w:szCs w:val="14"/>
                <w:color w:val="auto"/>
              </w:rPr>
            </w:pPr>
          </w:p>
        </w:tc>
        <w:tc>
          <w:tcPr>
            <w:tcW w:w="15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2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20" w:type="dxa"/>
            <w:vAlign w:val="bottom"/>
          </w:tcPr>
          <w:p>
            <w:pPr>
              <w:spacing w:after="0"/>
              <w:rPr>
                <w:sz w:val="14"/>
                <w:szCs w:val="14"/>
                <w:color w:val="auto"/>
              </w:rPr>
            </w:pPr>
          </w:p>
        </w:tc>
        <w:tc>
          <w:tcPr>
            <w:tcW w:w="2060" w:type="dxa"/>
            <w:vAlign w:val="bottom"/>
          </w:tcPr>
          <w:p>
            <w:pPr>
              <w:jc w:val="center"/>
              <w:ind w:right="159"/>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20" w:type="dxa"/>
            <w:vAlign w:val="bottom"/>
          </w:tcPr>
          <w:p>
            <w:pPr>
              <w:spacing w:after="0"/>
              <w:rPr>
                <w:sz w:val="12"/>
                <w:szCs w:val="12"/>
                <w:color w:val="auto"/>
              </w:rPr>
            </w:pPr>
          </w:p>
        </w:tc>
        <w:tc>
          <w:tcPr>
            <w:tcW w:w="20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3"/>
              </w:rPr>
              <w:t>of Shares That May Yet</w:t>
            </w:r>
          </w:p>
        </w:tc>
        <w:tc>
          <w:tcPr>
            <w:tcW w:w="0" w:type="dxa"/>
            <w:vAlign w:val="bottom"/>
          </w:tcPr>
          <w:p>
            <w:pPr>
              <w:spacing w:after="0"/>
              <w:rPr>
                <w:sz w:val="1"/>
                <w:szCs w:val="1"/>
                <w:color w:val="auto"/>
              </w:rPr>
            </w:pPr>
          </w:p>
        </w:tc>
      </w:tr>
      <w:tr>
        <w:trPr>
          <w:trHeight w:val="149"/>
        </w:trPr>
        <w:tc>
          <w:tcPr>
            <w:tcW w:w="1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780" w:type="dxa"/>
            <w:vAlign w:val="bottom"/>
          </w:tcPr>
          <w:p>
            <w:pPr>
              <w:spacing w:after="0"/>
              <w:rPr>
                <w:sz w:val="12"/>
                <w:szCs w:val="12"/>
                <w:color w:val="auto"/>
              </w:rPr>
            </w:pPr>
          </w:p>
        </w:tc>
        <w:tc>
          <w:tcPr>
            <w:tcW w:w="1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Shares</w:t>
            </w:r>
          </w:p>
        </w:tc>
        <w:tc>
          <w:tcPr>
            <w:tcW w:w="340" w:type="dxa"/>
            <w:vAlign w:val="bottom"/>
          </w:tcPr>
          <w:p>
            <w:pPr>
              <w:spacing w:after="0"/>
              <w:rPr>
                <w:sz w:val="12"/>
                <w:szCs w:val="12"/>
                <w:color w:val="auto"/>
              </w:rPr>
            </w:pPr>
          </w:p>
        </w:tc>
        <w:tc>
          <w:tcPr>
            <w:tcW w:w="15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Price Paid</w:t>
            </w:r>
          </w:p>
        </w:tc>
        <w:tc>
          <w:tcPr>
            <w:tcW w:w="2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20" w:type="dxa"/>
            <w:vAlign w:val="bottom"/>
          </w:tcPr>
          <w:p>
            <w:pPr>
              <w:spacing w:after="0"/>
              <w:rPr>
                <w:sz w:val="12"/>
                <w:szCs w:val="12"/>
                <w:color w:val="auto"/>
              </w:rPr>
            </w:pPr>
          </w:p>
        </w:tc>
        <w:tc>
          <w:tcPr>
            <w:tcW w:w="20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1"/>
              </w:rPr>
              <w:t>be Purchased Under the</w:t>
            </w:r>
          </w:p>
        </w:tc>
        <w:tc>
          <w:tcPr>
            <w:tcW w:w="0" w:type="dxa"/>
            <w:vAlign w:val="bottom"/>
          </w:tcPr>
          <w:p>
            <w:pPr>
              <w:spacing w:after="0"/>
              <w:rPr>
                <w:sz w:val="1"/>
                <w:szCs w:val="1"/>
                <w:color w:val="auto"/>
              </w:rPr>
            </w:pPr>
          </w:p>
        </w:tc>
      </w:tr>
      <w:tr>
        <w:trPr>
          <w:trHeight w:val="192"/>
        </w:trPr>
        <w:tc>
          <w:tcPr>
            <w:tcW w:w="16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 xml:space="preserve">Repurchased </w:t>
            </w:r>
            <w:r>
              <w:rPr>
                <w:rFonts w:ascii="Arial" w:cs="Arial" w:eastAsia="Arial" w:hAnsi="Arial"/>
                <w:sz w:val="12"/>
                <w:szCs w:val="12"/>
                <w:b w:val="1"/>
                <w:bCs w:val="1"/>
                <w:color w:val="auto"/>
                <w:w w:val="93"/>
              </w:rPr>
              <w:t>(1)</w:t>
            </w:r>
          </w:p>
        </w:tc>
        <w:tc>
          <w:tcPr>
            <w:tcW w:w="340" w:type="dxa"/>
            <w:vAlign w:val="bottom"/>
          </w:tcPr>
          <w:p>
            <w:pPr>
              <w:spacing w:after="0"/>
              <w:rPr>
                <w:sz w:val="16"/>
                <w:szCs w:val="16"/>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per Share</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Announced Program</w:t>
            </w:r>
          </w:p>
        </w:tc>
        <w:tc>
          <w:tcPr>
            <w:tcW w:w="220" w:type="dxa"/>
            <w:vAlign w:val="bottom"/>
          </w:tcPr>
          <w:p>
            <w:pPr>
              <w:spacing w:after="0"/>
              <w:rPr>
                <w:sz w:val="16"/>
                <w:szCs w:val="16"/>
                <w:color w:val="auto"/>
              </w:rPr>
            </w:pPr>
          </w:p>
        </w:tc>
        <w:tc>
          <w:tcPr>
            <w:tcW w:w="2060" w:type="dxa"/>
            <w:vAlign w:val="bottom"/>
          </w:tcPr>
          <w:p>
            <w:pPr>
              <w:jc w:val="center"/>
              <w:ind w:right="139"/>
              <w:spacing w:after="0"/>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243"/>
        </w:trPr>
        <w:tc>
          <w:tcPr>
            <w:tcW w:w="2380" w:type="dxa"/>
            <w:vAlign w:val="bottom"/>
            <w:gridSpan w:val="2"/>
          </w:tcPr>
          <w:p>
            <w:pPr>
              <w:jc w:val="right"/>
              <w:spacing w:after="0"/>
              <w:rPr>
                <w:sz w:val="20"/>
                <w:szCs w:val="20"/>
                <w:color w:val="auto"/>
              </w:rPr>
            </w:pPr>
            <w:r>
              <w:rPr>
                <w:rFonts w:ascii="Arial" w:cs="Arial" w:eastAsia="Arial" w:hAnsi="Arial"/>
                <w:sz w:val="18"/>
                <w:szCs w:val="18"/>
                <w:color w:val="auto"/>
              </w:rPr>
              <w:t>July 1 - 31, 2016</w:t>
            </w:r>
          </w:p>
        </w:tc>
        <w:tc>
          <w:tcPr>
            <w:tcW w:w="18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59,373</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130.10</w:t>
            </w:r>
          </w:p>
        </w:tc>
        <w:tc>
          <w:tcPr>
            <w:tcW w:w="100" w:type="dxa"/>
            <w:vAlign w:val="bottom"/>
          </w:tcPr>
          <w:p>
            <w:pPr>
              <w:spacing w:after="0"/>
              <w:rPr>
                <w:sz w:val="21"/>
                <w:szCs w:val="21"/>
                <w:color w:val="auto"/>
              </w:rPr>
            </w:pPr>
          </w:p>
        </w:tc>
        <w:tc>
          <w:tcPr>
            <w:tcW w:w="22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59,373</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157,301,842</w:t>
            </w:r>
          </w:p>
        </w:tc>
        <w:tc>
          <w:tcPr>
            <w:tcW w:w="0" w:type="dxa"/>
            <w:vAlign w:val="bottom"/>
          </w:tcPr>
          <w:p>
            <w:pPr>
              <w:spacing w:after="0"/>
              <w:rPr>
                <w:sz w:val="1"/>
                <w:szCs w:val="1"/>
                <w:color w:val="auto"/>
              </w:rPr>
            </w:pPr>
          </w:p>
        </w:tc>
      </w:tr>
      <w:tr>
        <w:trPr>
          <w:trHeight w:val="270"/>
        </w:trPr>
        <w:tc>
          <w:tcPr>
            <w:tcW w:w="1600" w:type="dxa"/>
            <w:vAlign w:val="bottom"/>
          </w:tcPr>
          <w:p>
            <w:pPr>
              <w:jc w:val="right"/>
              <w:spacing w:after="0"/>
              <w:rPr>
                <w:sz w:val="20"/>
                <w:szCs w:val="20"/>
                <w:color w:val="auto"/>
              </w:rPr>
            </w:pPr>
            <w:r>
              <w:rPr>
                <w:rFonts w:ascii="Arial" w:cs="Arial" w:eastAsia="Arial" w:hAnsi="Arial"/>
                <w:sz w:val="18"/>
                <w:szCs w:val="18"/>
                <w:color w:val="auto"/>
              </w:rPr>
              <w:t>August 1</w:t>
            </w:r>
          </w:p>
        </w:tc>
        <w:tc>
          <w:tcPr>
            <w:tcW w:w="780" w:type="dxa"/>
            <w:vAlign w:val="bottom"/>
          </w:tcPr>
          <w:p>
            <w:pPr>
              <w:jc w:val="right"/>
              <w:spacing w:after="0"/>
              <w:rPr>
                <w:sz w:val="20"/>
                <w:szCs w:val="20"/>
                <w:color w:val="auto"/>
              </w:rPr>
            </w:pPr>
            <w:r>
              <w:rPr>
                <w:rFonts w:ascii="Arial" w:cs="Arial" w:eastAsia="Arial" w:hAnsi="Arial"/>
                <w:sz w:val="18"/>
                <w:szCs w:val="18"/>
                <w:color w:val="auto"/>
                <w:w w:val="91"/>
              </w:rPr>
              <w:t>- 31, 2016</w:t>
            </w:r>
          </w:p>
        </w:tc>
        <w:tc>
          <w:tcPr>
            <w:tcW w:w="1840" w:type="dxa"/>
            <w:vAlign w:val="bottom"/>
          </w:tcPr>
          <w:p>
            <w:pPr>
              <w:jc w:val="right"/>
              <w:ind w:right="18"/>
              <w:spacing w:after="0"/>
              <w:rPr>
                <w:sz w:val="20"/>
                <w:szCs w:val="20"/>
                <w:color w:val="auto"/>
              </w:rPr>
            </w:pPr>
            <w:r>
              <w:rPr>
                <w:rFonts w:ascii="Arial" w:cs="Arial" w:eastAsia="Arial" w:hAnsi="Arial"/>
                <w:sz w:val="18"/>
                <w:szCs w:val="18"/>
                <w:color w:val="auto"/>
              </w:rPr>
              <w:t>55,770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20" w:type="dxa"/>
            <w:vAlign w:val="bottom"/>
          </w:tcPr>
          <w:p>
            <w:pPr>
              <w:jc w:val="right"/>
              <w:ind w:right="38"/>
              <w:spacing w:after="0"/>
              <w:rPr>
                <w:sz w:val="20"/>
                <w:szCs w:val="20"/>
                <w:color w:val="auto"/>
              </w:rPr>
            </w:pPr>
            <w:r>
              <w:rPr>
                <w:rFonts w:ascii="Arial" w:cs="Arial" w:eastAsia="Arial" w:hAnsi="Arial"/>
                <w:sz w:val="18"/>
                <w:szCs w:val="18"/>
                <w:color w:val="auto"/>
              </w:rPr>
              <w:t>134.65</w:t>
            </w:r>
          </w:p>
        </w:tc>
        <w:tc>
          <w:tcPr>
            <w:tcW w:w="100" w:type="dxa"/>
            <w:vAlign w:val="bottom"/>
          </w:tcPr>
          <w:p>
            <w:pPr>
              <w:spacing w:after="0"/>
              <w:rPr>
                <w:sz w:val="23"/>
                <w:szCs w:val="23"/>
                <w:color w:val="auto"/>
              </w:rPr>
            </w:pPr>
          </w:p>
        </w:tc>
        <w:tc>
          <w:tcPr>
            <w:tcW w:w="2260" w:type="dxa"/>
            <w:vAlign w:val="bottom"/>
          </w:tcPr>
          <w:p>
            <w:pPr>
              <w:jc w:val="right"/>
              <w:ind w:right="19"/>
              <w:spacing w:after="0"/>
              <w:rPr>
                <w:sz w:val="20"/>
                <w:szCs w:val="20"/>
                <w:color w:val="auto"/>
              </w:rPr>
            </w:pPr>
            <w:r>
              <w:rPr>
                <w:rFonts w:ascii="Arial" w:cs="Arial" w:eastAsia="Arial" w:hAnsi="Arial"/>
                <w:sz w:val="18"/>
                <w:szCs w:val="18"/>
                <w:color w:val="auto"/>
              </w:rPr>
              <w:t>55,770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60" w:type="dxa"/>
            <w:vAlign w:val="bottom"/>
          </w:tcPr>
          <w:p>
            <w:pPr>
              <w:jc w:val="right"/>
              <w:ind w:right="19"/>
              <w:spacing w:after="0"/>
              <w:rPr>
                <w:sz w:val="20"/>
                <w:szCs w:val="20"/>
                <w:color w:val="auto"/>
              </w:rPr>
            </w:pPr>
            <w:r>
              <w:rPr>
                <w:rFonts w:ascii="Arial" w:cs="Arial" w:eastAsia="Arial" w:hAnsi="Arial"/>
                <w:sz w:val="18"/>
                <w:szCs w:val="18"/>
                <w:color w:val="auto"/>
              </w:rPr>
              <w:t>149,792,680</w:t>
            </w:r>
          </w:p>
        </w:tc>
        <w:tc>
          <w:tcPr>
            <w:tcW w:w="0" w:type="dxa"/>
            <w:vAlign w:val="bottom"/>
          </w:tcPr>
          <w:p>
            <w:pPr>
              <w:spacing w:after="0"/>
              <w:rPr>
                <w:sz w:val="1"/>
                <w:szCs w:val="1"/>
                <w:color w:val="auto"/>
              </w:rPr>
            </w:pPr>
          </w:p>
        </w:tc>
      </w:tr>
      <w:tr>
        <w:trPr>
          <w:trHeight w:val="270"/>
        </w:trPr>
        <w:tc>
          <w:tcPr>
            <w:tcW w:w="1600" w:type="dxa"/>
            <w:vAlign w:val="bottom"/>
          </w:tcPr>
          <w:p>
            <w:pPr>
              <w:jc w:val="right"/>
              <w:spacing w:after="0"/>
              <w:rPr>
                <w:sz w:val="20"/>
                <w:szCs w:val="20"/>
                <w:color w:val="auto"/>
              </w:rPr>
            </w:pPr>
            <w:r>
              <w:rPr>
                <w:rFonts w:ascii="Arial" w:cs="Arial" w:eastAsia="Arial" w:hAnsi="Arial"/>
                <w:sz w:val="18"/>
                <w:szCs w:val="18"/>
                <w:color w:val="auto"/>
              </w:rPr>
              <w:t>September 1</w:t>
            </w:r>
          </w:p>
        </w:tc>
        <w:tc>
          <w:tcPr>
            <w:tcW w:w="780" w:type="dxa"/>
            <w:vAlign w:val="bottom"/>
          </w:tcPr>
          <w:p>
            <w:pPr>
              <w:jc w:val="right"/>
              <w:spacing w:after="0"/>
              <w:rPr>
                <w:sz w:val="20"/>
                <w:szCs w:val="20"/>
                <w:color w:val="auto"/>
              </w:rPr>
            </w:pPr>
            <w:r>
              <w:rPr>
                <w:rFonts w:ascii="Arial" w:cs="Arial" w:eastAsia="Arial" w:hAnsi="Arial"/>
                <w:sz w:val="18"/>
                <w:szCs w:val="18"/>
                <w:color w:val="auto"/>
                <w:w w:val="91"/>
              </w:rPr>
              <w:t>- 30, 2016</w:t>
            </w:r>
          </w:p>
        </w:tc>
        <w:tc>
          <w:tcPr>
            <w:tcW w:w="1840" w:type="dxa"/>
            <w:vAlign w:val="bottom"/>
          </w:tcPr>
          <w:p>
            <w:pPr>
              <w:jc w:val="right"/>
              <w:ind w:right="18"/>
              <w:spacing w:after="0"/>
              <w:rPr>
                <w:sz w:val="20"/>
                <w:szCs w:val="20"/>
                <w:color w:val="auto"/>
              </w:rPr>
            </w:pPr>
            <w:r>
              <w:rPr>
                <w:rFonts w:ascii="Arial" w:cs="Arial" w:eastAsia="Arial" w:hAnsi="Arial"/>
                <w:sz w:val="18"/>
                <w:szCs w:val="18"/>
                <w:color w:val="auto"/>
              </w:rPr>
              <w:t>52,164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20" w:type="dxa"/>
            <w:vAlign w:val="bottom"/>
          </w:tcPr>
          <w:p>
            <w:pPr>
              <w:jc w:val="right"/>
              <w:ind w:right="38"/>
              <w:spacing w:after="0"/>
              <w:rPr>
                <w:sz w:val="20"/>
                <w:szCs w:val="20"/>
                <w:color w:val="auto"/>
              </w:rPr>
            </w:pPr>
            <w:r>
              <w:rPr>
                <w:rFonts w:ascii="Arial" w:cs="Arial" w:eastAsia="Arial" w:hAnsi="Arial"/>
                <w:sz w:val="18"/>
                <w:szCs w:val="18"/>
                <w:color w:val="auto"/>
              </w:rPr>
              <w:t>138.01</w:t>
            </w:r>
          </w:p>
        </w:tc>
        <w:tc>
          <w:tcPr>
            <w:tcW w:w="100" w:type="dxa"/>
            <w:vAlign w:val="bottom"/>
          </w:tcPr>
          <w:p>
            <w:pPr>
              <w:spacing w:after="0"/>
              <w:rPr>
                <w:sz w:val="23"/>
                <w:szCs w:val="23"/>
                <w:color w:val="auto"/>
              </w:rPr>
            </w:pPr>
          </w:p>
        </w:tc>
        <w:tc>
          <w:tcPr>
            <w:tcW w:w="2260" w:type="dxa"/>
            <w:vAlign w:val="bottom"/>
          </w:tcPr>
          <w:p>
            <w:pPr>
              <w:jc w:val="right"/>
              <w:ind w:right="19"/>
              <w:spacing w:after="0"/>
              <w:rPr>
                <w:sz w:val="20"/>
                <w:szCs w:val="20"/>
                <w:color w:val="auto"/>
              </w:rPr>
            </w:pPr>
            <w:r>
              <w:rPr>
                <w:rFonts w:ascii="Arial" w:cs="Arial" w:eastAsia="Arial" w:hAnsi="Arial"/>
                <w:sz w:val="18"/>
                <w:szCs w:val="18"/>
                <w:color w:val="auto"/>
              </w:rPr>
              <w:t>52,164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60" w:type="dxa"/>
            <w:vAlign w:val="bottom"/>
          </w:tcPr>
          <w:p>
            <w:pPr>
              <w:jc w:val="right"/>
              <w:ind w:right="19"/>
              <w:spacing w:after="0"/>
              <w:rPr>
                <w:sz w:val="20"/>
                <w:szCs w:val="20"/>
                <w:color w:val="auto"/>
              </w:rPr>
            </w:pPr>
            <w:r>
              <w:rPr>
                <w:rFonts w:ascii="Arial" w:cs="Arial" w:eastAsia="Arial" w:hAnsi="Arial"/>
                <w:sz w:val="18"/>
                <w:szCs w:val="18"/>
                <w:color w:val="auto"/>
              </w:rPr>
              <w:t>142,593,302</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0" w:type="dxa"/>
            <w:vAlign w:val="bottom"/>
          </w:tcPr>
          <w:p>
            <w:pPr>
              <w:ind w:left="40"/>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20"/>
                <w:szCs w:val="20"/>
                <w:color w:val="auto"/>
              </w:rPr>
            </w:pPr>
          </w:p>
        </w:tc>
        <w:tc>
          <w:tcPr>
            <w:tcW w:w="1840" w:type="dxa"/>
            <w:vAlign w:val="bottom"/>
          </w:tcPr>
          <w:p>
            <w:pPr>
              <w:jc w:val="right"/>
              <w:ind w:right="18"/>
              <w:spacing w:after="0"/>
              <w:rPr>
                <w:sz w:val="20"/>
                <w:szCs w:val="20"/>
                <w:color w:val="auto"/>
              </w:rPr>
            </w:pPr>
            <w:r>
              <w:rPr>
                <w:rFonts w:ascii="Arial" w:cs="Arial" w:eastAsia="Arial" w:hAnsi="Arial"/>
                <w:sz w:val="18"/>
                <w:szCs w:val="18"/>
                <w:b w:val="1"/>
                <w:bCs w:val="1"/>
                <w:color w:val="auto"/>
              </w:rPr>
              <w:t>167,307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ind w:right="38"/>
              <w:spacing w:after="0"/>
              <w:rPr>
                <w:sz w:val="20"/>
                <w:szCs w:val="20"/>
                <w:color w:val="auto"/>
              </w:rPr>
            </w:pPr>
            <w:r>
              <w:rPr>
                <w:rFonts w:ascii="Arial" w:cs="Arial" w:eastAsia="Arial" w:hAnsi="Arial"/>
                <w:sz w:val="18"/>
                <w:szCs w:val="18"/>
                <w:b w:val="1"/>
                <w:bCs w:val="1"/>
                <w:color w:val="auto"/>
              </w:rPr>
              <w:t>134.08</w:t>
            </w:r>
          </w:p>
        </w:tc>
        <w:tc>
          <w:tcPr>
            <w:tcW w:w="100" w:type="dxa"/>
            <w:vAlign w:val="bottom"/>
          </w:tcPr>
          <w:p>
            <w:pPr>
              <w:spacing w:after="0"/>
              <w:rPr>
                <w:sz w:val="20"/>
                <w:szCs w:val="20"/>
                <w:color w:val="auto"/>
              </w:rPr>
            </w:pPr>
          </w:p>
        </w:tc>
        <w:tc>
          <w:tcPr>
            <w:tcW w:w="2260" w:type="dxa"/>
            <w:vAlign w:val="bottom"/>
          </w:tcPr>
          <w:p>
            <w:pPr>
              <w:jc w:val="right"/>
              <w:ind w:right="19"/>
              <w:spacing w:after="0"/>
              <w:rPr>
                <w:sz w:val="20"/>
                <w:szCs w:val="20"/>
                <w:color w:val="auto"/>
              </w:rPr>
            </w:pPr>
            <w:r>
              <w:rPr>
                <w:rFonts w:ascii="Arial" w:cs="Arial" w:eastAsia="Arial" w:hAnsi="Arial"/>
                <w:sz w:val="18"/>
                <w:szCs w:val="18"/>
                <w:b w:val="1"/>
                <w:bCs w:val="1"/>
                <w:color w:val="auto"/>
              </w:rPr>
              <w:t>167,307</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Pr>
          <w:p>
            <w:pPr>
              <w:jc w:val="right"/>
              <w:ind w:right="19"/>
              <w:spacing w:after="0"/>
              <w:rPr>
                <w:sz w:val="20"/>
                <w:szCs w:val="20"/>
                <w:color w:val="auto"/>
              </w:rPr>
            </w:pPr>
            <w:r>
              <w:rPr>
                <w:rFonts w:ascii="Arial" w:cs="Arial" w:eastAsia="Arial" w:hAnsi="Arial"/>
                <w:sz w:val="18"/>
                <w:szCs w:val="18"/>
                <w:b w:val="1"/>
                <w:bCs w:val="1"/>
                <w:color w:val="auto"/>
              </w:rPr>
              <w:t>142,593,302</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rFonts w:ascii="Arial" w:cs="Arial" w:eastAsia="Arial" w:hAnsi="Arial"/>
          <w:sz w:val="16"/>
          <w:szCs w:val="16"/>
          <w:color w:val="auto"/>
        </w:rPr>
      </w:pPr>
    </w:p>
    <w:p>
      <w:pPr>
        <w:ind w:left="340" w:right="160" w:hanging="332"/>
        <w:spacing w:after="0" w:line="286"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Shares were repurchased pursuant to the repurchase program originally announced in December 2012 and amended in August 2015 (i) to increase from $250 million to $500 million the total purchase price of shares that may be repurchased under the program and (ii) to extend the program through December 31, 2017. Authorization of the repurchase program may be modified, suspended, or discontinued at any time.</w:t>
      </w:r>
    </w:p>
    <w:p>
      <w:pPr>
        <w:spacing w:after="0" w:line="311" w:lineRule="exact"/>
        <w:rPr>
          <w:rFonts w:ascii="Arial" w:cs="Arial" w:eastAsia="Arial" w:hAnsi="Arial"/>
          <w:sz w:val="16"/>
          <w:szCs w:val="16"/>
          <w:color w:val="auto"/>
        </w:rPr>
      </w:pPr>
    </w:p>
    <w:tbl>
      <w:tblPr>
        <w:tblLayout w:type="fixed"/>
        <w:tblInd w:w="4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80" w:type="dxa"/>
            <w:vAlign w:val="bottom"/>
          </w:tcPr>
          <w:p>
            <w:pPr>
              <w:spacing w:after="0"/>
              <w:rPr>
                <w:sz w:val="18"/>
                <w:szCs w:val="18"/>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Exhibits</w:t>
            </w:r>
          </w:p>
        </w:tc>
        <w:tc>
          <w:tcPr>
            <w:tcW w:w="6060" w:type="dxa"/>
            <w:vAlign w:val="bottom"/>
          </w:tcPr>
          <w:p>
            <w:pPr>
              <w:spacing w:after="0"/>
              <w:rPr>
                <w:sz w:val="18"/>
                <w:szCs w:val="18"/>
                <w:color w:val="auto"/>
              </w:rPr>
            </w:pP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7180" w:type="dxa"/>
            <w:vAlign w:val="bottom"/>
            <w:gridSpan w:val="3"/>
          </w:tcPr>
          <w:p>
            <w:pPr>
              <w:ind w:left="260"/>
              <w:spacing w:after="0"/>
              <w:rPr>
                <w:sz w:val="20"/>
                <w:szCs w:val="20"/>
                <w:color w:val="auto"/>
              </w:rPr>
            </w:pPr>
            <w:r>
              <w:rPr>
                <w:rFonts w:ascii="Arial" w:cs="Arial" w:eastAsia="Arial" w:hAnsi="Arial"/>
                <w:sz w:val="18"/>
                <w:szCs w:val="18"/>
                <w:color w:val="auto"/>
                <w:w w:val="96"/>
              </w:rPr>
              <w:t>Certification of Andreas Fibig pursuant to Section 302 of the Sarbanes-Oxley Act of 2002.</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7180" w:type="dxa"/>
            <w:vAlign w:val="bottom"/>
            <w:gridSpan w:val="3"/>
          </w:tcPr>
          <w:p>
            <w:pPr>
              <w:ind w:left="260"/>
              <w:spacing w:after="0"/>
              <w:rPr>
                <w:sz w:val="20"/>
                <w:szCs w:val="20"/>
                <w:color w:val="auto"/>
              </w:rPr>
            </w:pPr>
            <w:r>
              <w:rPr>
                <w:rFonts w:ascii="Arial" w:cs="Arial" w:eastAsia="Arial" w:hAnsi="Arial"/>
                <w:sz w:val="18"/>
                <w:szCs w:val="18"/>
                <w:color w:val="auto"/>
                <w:w w:val="91"/>
              </w:rPr>
              <w:t>Certification of Richard A. O'Leary pursuant to Section 302 of the Sarbanes-Oxley Act of 2002.</w:t>
            </w:r>
          </w:p>
        </w:tc>
      </w:tr>
    </w:tbl>
    <w:p>
      <w:pPr>
        <w:spacing w:after="0" w:line="40" w:lineRule="exact"/>
        <w:rPr>
          <w:rFonts w:ascii="Arial" w:cs="Arial" w:eastAsia="Arial" w:hAnsi="Arial"/>
          <w:sz w:val="16"/>
          <w:szCs w:val="16"/>
          <w:color w:val="auto"/>
        </w:rPr>
      </w:pPr>
    </w:p>
    <w:p>
      <w:pPr>
        <w:ind w:left="1080" w:right="160" w:hanging="1045"/>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Certification of Andreas Fibig and Richard A. O'Leary pursuant to 18 U.S.C. Section 1350 as adopted pursuant to the Sarbanes-Oxley Act of 2002.</w:t>
      </w:r>
    </w:p>
    <w:p>
      <w:pPr>
        <w:spacing w:after="0" w:line="8"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101.INS</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101.SCH</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101.CAL</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101.DEF</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101.LAB</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101.PRE</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746" w:right="259" w:bottom="1440" w:gutter="0" w:footer="0" w:header="0"/>
        </w:sectPr>
      </w:pPr>
    </w:p>
    <w:bookmarkStart w:id="37" w:name="page38"/>
    <w:bookmarkEnd w:id="37"/>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364" w:lineRule="exact"/>
        <w:rPr>
          <w:sz w:val="20"/>
          <w:szCs w:val="20"/>
          <w:color w:val="auto"/>
        </w:rPr>
      </w:pPr>
    </w:p>
    <w:p>
      <w:pPr>
        <w:ind w:left="40"/>
        <w:spacing w:after="0"/>
        <w:tabs>
          <w:tab w:leader="none" w:pos="820" w:val="left"/>
          <w:tab w:leader="none" w:pos="5100" w:val="left"/>
          <w:tab w:leader="none" w:pos="5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7,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Andreas Fibig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3576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Andreas Fibig</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Chairman of the Board and Chief Executive Officer</w:t>
      </w:r>
    </w:p>
    <w:p>
      <w:pPr>
        <w:spacing w:after="0" w:line="185" w:lineRule="exact"/>
        <w:rPr>
          <w:sz w:val="20"/>
          <w:szCs w:val="20"/>
          <w:color w:val="auto"/>
        </w:rPr>
      </w:pPr>
    </w:p>
    <w:p>
      <w:pPr>
        <w:ind w:left="40"/>
        <w:spacing w:after="0"/>
        <w:tabs>
          <w:tab w:leader="none" w:pos="820" w:val="left"/>
          <w:tab w:leader="none" w:pos="5100" w:val="left"/>
          <w:tab w:leader="none" w:pos="5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7,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3576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Richard A. O'Leary</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4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780"/>
          </w:cols>
          <w:pgMar w:left="240" w:top="580" w:right="879" w:bottom="1440" w:gutter="0" w:footer="0" w:header="0"/>
        </w:sectPr>
      </w:pPr>
    </w:p>
    <w:bookmarkStart w:id="38" w:name="page39"/>
    <w:bookmarkEnd w:id="38"/>
    <w:tbl>
      <w:tblPr>
        <w:tblLayout w:type="fixed"/>
        <w:tblInd w:w="5"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7120" w:type="dxa"/>
            <w:vAlign w:val="bottom"/>
          </w:tcPr>
          <w:p>
            <w:pPr>
              <w:ind w:left="4140"/>
              <w:spacing w:after="0"/>
              <w:rPr>
                <w:sz w:val="20"/>
                <w:szCs w:val="20"/>
                <w:color w:val="auto"/>
              </w:rPr>
            </w:pPr>
            <w:r>
              <w:rPr>
                <w:rFonts w:ascii="Arial" w:cs="Arial" w:eastAsia="Arial" w:hAnsi="Arial"/>
                <w:sz w:val="18"/>
                <w:szCs w:val="18"/>
                <w:b w:val="1"/>
                <w:bCs w:val="1"/>
                <w:color w:val="auto"/>
              </w:rPr>
              <w:t>EXHIBIT INDEX</w:t>
            </w:r>
          </w:p>
        </w:tc>
      </w:tr>
      <w:tr>
        <w:trPr>
          <w:trHeight w:val="326"/>
        </w:trPr>
        <w:tc>
          <w:tcPr>
            <w:tcW w:w="840" w:type="dxa"/>
            <w:vAlign w:val="bottom"/>
          </w:tcPr>
          <w:p>
            <w:pPr>
              <w:jc w:val="right"/>
              <w:ind w:right="96"/>
              <w:spacing w:after="0"/>
              <w:rPr>
                <w:sz w:val="20"/>
                <w:szCs w:val="20"/>
                <w:color w:val="auto"/>
              </w:rPr>
            </w:pPr>
            <w:r>
              <w:rPr>
                <w:rFonts w:ascii="Arial" w:cs="Arial" w:eastAsia="Arial" w:hAnsi="Arial"/>
                <w:sz w:val="14"/>
                <w:szCs w:val="14"/>
                <w:color w:val="auto"/>
              </w:rPr>
              <w:t>Number</w:t>
            </w:r>
          </w:p>
        </w:tc>
        <w:tc>
          <w:tcPr>
            <w:tcW w:w="7120" w:type="dxa"/>
            <w:vAlign w:val="bottom"/>
          </w:tcPr>
          <w:p>
            <w:pPr>
              <w:ind w:left="5020"/>
              <w:spacing w:after="0"/>
              <w:rPr>
                <w:sz w:val="20"/>
                <w:szCs w:val="20"/>
                <w:color w:val="auto"/>
              </w:rPr>
            </w:pPr>
            <w:r>
              <w:rPr>
                <w:rFonts w:ascii="Arial" w:cs="Arial" w:eastAsia="Arial" w:hAnsi="Arial"/>
                <w:sz w:val="14"/>
                <w:szCs w:val="14"/>
                <w:color w:val="auto"/>
              </w:rPr>
              <w:t>Description</w:t>
            </w:r>
          </w:p>
        </w:tc>
      </w:tr>
      <w:tr>
        <w:trPr>
          <w:trHeight w:val="255"/>
        </w:trPr>
        <w:tc>
          <w:tcPr>
            <w:tcW w:w="840" w:type="dxa"/>
            <w:vAlign w:val="bottom"/>
          </w:tcPr>
          <w:p>
            <w:pPr>
              <w:jc w:val="right"/>
              <w:ind w:right="436"/>
              <w:spacing w:after="0"/>
              <w:rPr>
                <w:sz w:val="20"/>
                <w:szCs w:val="20"/>
                <w:color w:val="auto"/>
              </w:rPr>
            </w:pPr>
            <w:r>
              <w:rPr>
                <w:rFonts w:ascii="Arial" w:cs="Arial" w:eastAsia="Arial" w:hAnsi="Arial"/>
                <w:sz w:val="18"/>
                <w:szCs w:val="18"/>
                <w:color w:val="auto"/>
                <w:w w:val="85"/>
              </w:rPr>
              <w:t>31.1</w:t>
            </w:r>
          </w:p>
        </w:tc>
        <w:tc>
          <w:tcPr>
            <w:tcW w:w="7120" w:type="dxa"/>
            <w:vAlign w:val="bottom"/>
          </w:tcPr>
          <w:p>
            <w:pPr>
              <w:ind w:left="200"/>
              <w:spacing w:after="0"/>
              <w:rPr>
                <w:sz w:val="20"/>
                <w:szCs w:val="20"/>
                <w:color w:val="auto"/>
              </w:rPr>
            </w:pPr>
            <w:r>
              <w:rPr>
                <w:rFonts w:ascii="Arial" w:cs="Arial" w:eastAsia="Arial" w:hAnsi="Arial"/>
                <w:sz w:val="18"/>
                <w:szCs w:val="18"/>
                <w:color w:val="auto"/>
                <w:w w:val="96"/>
              </w:rPr>
              <w:t>Certification of Andreas Fibig pursuant to Section 302 of the Sarbanes-Oxley Act of 2002.</w:t>
            </w:r>
          </w:p>
        </w:tc>
      </w:tr>
      <w:tr>
        <w:trPr>
          <w:trHeight w:val="270"/>
        </w:trPr>
        <w:tc>
          <w:tcPr>
            <w:tcW w:w="840" w:type="dxa"/>
            <w:vAlign w:val="bottom"/>
          </w:tcPr>
          <w:p>
            <w:pPr>
              <w:jc w:val="right"/>
              <w:ind w:right="436"/>
              <w:spacing w:after="0"/>
              <w:rPr>
                <w:sz w:val="20"/>
                <w:szCs w:val="20"/>
                <w:color w:val="auto"/>
              </w:rPr>
            </w:pPr>
            <w:r>
              <w:rPr>
                <w:rFonts w:ascii="Arial" w:cs="Arial" w:eastAsia="Arial" w:hAnsi="Arial"/>
                <w:sz w:val="18"/>
                <w:szCs w:val="18"/>
                <w:color w:val="auto"/>
                <w:w w:val="85"/>
              </w:rPr>
              <w:t>31.2</w:t>
            </w:r>
          </w:p>
        </w:tc>
        <w:tc>
          <w:tcPr>
            <w:tcW w:w="7120" w:type="dxa"/>
            <w:vAlign w:val="bottom"/>
          </w:tcPr>
          <w:p>
            <w:pPr>
              <w:ind w:left="200"/>
              <w:spacing w:after="0"/>
              <w:rPr>
                <w:sz w:val="20"/>
                <w:szCs w:val="20"/>
                <w:color w:val="auto"/>
              </w:rPr>
            </w:pPr>
            <w:r>
              <w:rPr>
                <w:rFonts w:ascii="Arial" w:cs="Arial" w:eastAsia="Arial" w:hAnsi="Arial"/>
                <w:sz w:val="18"/>
                <w:szCs w:val="18"/>
                <w:color w:val="auto"/>
                <w:w w:val="91"/>
              </w:rPr>
              <w:t>Certification of Richard A. O'Leary pursuant to Section 302 of the Sarbanes-Oxley Act of 2002.</w:t>
            </w:r>
          </w:p>
        </w:tc>
      </w:tr>
    </w:tbl>
    <w:p>
      <w:pPr>
        <w:spacing w:after="0" w:line="40" w:lineRule="exact"/>
        <w:rPr>
          <w:sz w:val="20"/>
          <w:szCs w:val="20"/>
          <w:color w:val="auto"/>
        </w:rPr>
      </w:pPr>
    </w:p>
    <w:p>
      <w:pPr>
        <w:ind w:left="1045" w:hanging="1045"/>
        <w:spacing w:after="0" w:line="277" w:lineRule="auto"/>
        <w:tabs>
          <w:tab w:leader="none" w:pos="10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Certification of Andreas Fibig and Richard A. O'Leary pursuant to 18 U.S.C. Section 1350 as adopted pursuant to the Sarbanes-Oxley Act of 2002.</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38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Extensions Schema</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3880" w:type="dxa"/>
            <w:vAlign w:val="bottom"/>
          </w:tcPr>
          <w:p>
            <w:pPr>
              <w:ind w:left="18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3880" w:type="dxa"/>
            <w:vAlign w:val="bottom"/>
          </w:tcPr>
          <w:p>
            <w:pPr>
              <w:ind w:left="180"/>
              <w:spacing w:after="0"/>
              <w:rPr>
                <w:sz w:val="20"/>
                <w:szCs w:val="20"/>
                <w:color w:val="auto"/>
              </w:rPr>
            </w:pPr>
            <w:r>
              <w:rPr>
                <w:rFonts w:ascii="Arial" w:cs="Arial" w:eastAsia="Arial" w:hAnsi="Arial"/>
                <w:sz w:val="18"/>
                <w:szCs w:val="18"/>
                <w:color w:val="auto"/>
                <w:w w:val="97"/>
              </w:rPr>
              <w:t>XBRL Taxonomy Extension Definition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3880" w:type="dxa"/>
            <w:vAlign w:val="bottom"/>
          </w:tcPr>
          <w:p>
            <w:pPr>
              <w:ind w:left="18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0" w:lineRule="exact"/>
        <w:rPr>
          <w:sz w:val="20"/>
          <w:szCs w:val="20"/>
          <w:color w:val="auto"/>
        </w:rPr>
      </w:pPr>
    </w:p>
    <w:p>
      <w:pPr>
        <w:spacing w:after="0" w:line="218" w:lineRule="exact"/>
        <w:rPr>
          <w:sz w:val="20"/>
          <w:szCs w:val="20"/>
          <w:color w:val="auto"/>
        </w:rPr>
      </w:pPr>
    </w:p>
    <w:p>
      <w:pPr>
        <w:jc w:val="center"/>
        <w:ind w:right="-284"/>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5"/>
          </w:cols>
          <w:pgMar w:left="275" w:top="580" w:right="419" w:bottom="1440" w:gutter="0" w:footer="0" w:header="0"/>
        </w:sectPr>
      </w:pPr>
    </w:p>
    <w:bookmarkStart w:id="39" w:name="page40"/>
    <w:bookmarkEnd w:id="39"/>
    <w:p>
      <w:pPr>
        <w:jc w:val="right"/>
        <w:spacing w:after="0"/>
        <w:rPr>
          <w:sz w:val="20"/>
          <w:szCs w:val="20"/>
          <w:color w:val="auto"/>
        </w:rPr>
      </w:pPr>
      <w:r>
        <w:rPr>
          <w:rFonts w:ascii="Arial" w:cs="Arial" w:eastAsia="Arial" w:hAnsi="Arial"/>
          <w:sz w:val="20"/>
          <w:szCs w:val="20"/>
          <w:color w:val="auto"/>
        </w:rPr>
        <w:t>Exhibit 31.1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Andreas Fibig, certify that:</w:t>
      </w:r>
    </w:p>
    <w:p>
      <w:pPr>
        <w:spacing w:after="0" w:line="229"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International Flavors &amp; Fragrances Inc.;</w:t>
      </w:r>
    </w:p>
    <w:p>
      <w:pPr>
        <w:spacing w:after="0" w:line="229"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ind w:left="1800" w:right="100" w:hanging="1144"/>
        <w:spacing w:after="0" w:line="291" w:lineRule="auto"/>
        <w:tabs>
          <w:tab w:leader="none" w:pos="131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1800" w:right="60" w:hanging="1144"/>
        <w:spacing w:after="0" w:line="291" w:lineRule="auto"/>
        <w:tabs>
          <w:tab w:leader="none" w:pos="131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ind w:left="1800" w:right="80" w:hanging="1144"/>
        <w:spacing w:after="0" w:line="250" w:lineRule="auto"/>
        <w:tabs>
          <w:tab w:leader="none" w:pos="1314" w:val="left"/>
        </w:tabs>
        <w:numPr>
          <w:ilvl w:val="1"/>
          <w:numId w:val="2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1800" w:right="260" w:hanging="1144"/>
        <w:spacing w:after="0" w:line="246" w:lineRule="auto"/>
        <w:tabs>
          <w:tab w:leader="none" w:pos="1314" w:val="left"/>
        </w:tabs>
        <w:numPr>
          <w:ilvl w:val="1"/>
          <w:numId w:val="25"/>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20"/>
          <w:szCs w:val="20"/>
          <w:color w:val="auto"/>
        </w:rPr>
      </w:pPr>
    </w:p>
    <w:p>
      <w:pPr>
        <w:ind w:left="340" w:right="360" w:hanging="332"/>
        <w:spacing w:after="0" w:line="250" w:lineRule="auto"/>
        <w:tabs>
          <w:tab w:leader="none" w:pos="3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sz w:val="20"/>
          <w:szCs w:val="20"/>
          <w:color w:val="auto"/>
        </w:rPr>
      </w:pPr>
    </w:p>
    <w:p>
      <w:pPr>
        <w:jc w:val="right"/>
        <w:ind w:left="660" w:right="20"/>
        <w:spacing w:after="0" w:line="268" w:lineRule="auto"/>
        <w:rPr>
          <w:sz w:val="20"/>
          <w:szCs w:val="20"/>
          <w:color w:val="auto"/>
        </w:rPr>
      </w:pPr>
      <w:r>
        <w:rPr>
          <w:rFonts w:ascii="Arial" w:cs="Arial" w:eastAsia="Arial" w:hAnsi="Arial"/>
          <w:sz w:val="21"/>
          <w:szCs w:val="21"/>
          <w:color w:val="auto"/>
        </w:rPr>
        <w:t>(a)</w:t>
      </w:r>
      <w:r>
        <w:rPr>
          <w:rFonts w:ascii="Arial" w:cs="Arial" w:eastAsia="Arial" w:hAnsi="Arial"/>
          <w:sz w:val="18"/>
          <w:szCs w:val="18"/>
          <w:color w:val="auto"/>
        </w:rPr>
        <w:t>All significant deficiencies and material weaknesses in the design or operation of internal control over financial reporting which are</w:t>
      </w:r>
      <w:r>
        <w:rPr>
          <w:rFonts w:ascii="Arial" w:cs="Arial" w:eastAsia="Arial" w:hAnsi="Arial"/>
          <w:sz w:val="21"/>
          <w:szCs w:val="21"/>
          <w:color w:val="auto"/>
        </w:rPr>
        <w:t xml:space="preserve"> </w:t>
      </w:r>
      <w:r>
        <w:rPr>
          <w:rFonts w:ascii="Arial" w:cs="Arial" w:eastAsia="Arial" w:hAnsi="Arial"/>
          <w:sz w:val="18"/>
          <w:szCs w:val="18"/>
          <w:color w:val="auto"/>
        </w:rPr>
        <w:t>reasonably likely to adversely affect the registrant's ability to record, process, summarize and report financial information; and</w:t>
      </w:r>
    </w:p>
    <w:p>
      <w:pPr>
        <w:spacing w:after="0" w:line="203" w:lineRule="exact"/>
        <w:rPr>
          <w:sz w:val="20"/>
          <w:szCs w:val="20"/>
          <w:color w:val="auto"/>
        </w:rPr>
      </w:pPr>
    </w:p>
    <w:p>
      <w:pPr>
        <w:ind w:left="1400" w:right="400" w:hanging="742"/>
        <w:spacing w:after="0" w:line="245" w:lineRule="auto"/>
        <w:rPr>
          <w:sz w:val="20"/>
          <w:szCs w:val="20"/>
          <w:color w:val="auto"/>
        </w:rPr>
      </w:pPr>
      <w:r>
        <w:rPr>
          <w:rFonts w:ascii="Arial" w:cs="Arial" w:eastAsia="Arial" w:hAnsi="Arial"/>
          <w:sz w:val="22"/>
          <w:szCs w:val="22"/>
          <w:color w:val="auto"/>
        </w:rPr>
        <w:t>(b)</w:t>
      </w:r>
      <w:r>
        <w:rPr>
          <w:rFonts w:ascii="Arial" w:cs="Arial" w:eastAsia="Arial" w:hAnsi="Arial"/>
          <w:sz w:val="19"/>
          <w:szCs w:val="19"/>
          <w:color w:val="auto"/>
        </w:rPr>
        <w:t>Any fraud, whether or not material, that involves management or other employees who have a significant role in the registrant's</w:t>
      </w:r>
      <w:r>
        <w:rPr>
          <w:rFonts w:ascii="Arial" w:cs="Arial" w:eastAsia="Arial" w:hAnsi="Arial"/>
          <w:sz w:val="22"/>
          <w:szCs w:val="22"/>
          <w:color w:val="auto"/>
        </w:rPr>
        <w:t xml:space="preserve"> </w:t>
      </w:r>
      <w:r>
        <w:rPr>
          <w:rFonts w:ascii="Arial" w:cs="Arial" w:eastAsia="Arial" w:hAnsi="Arial"/>
          <w:sz w:val="19"/>
          <w:szCs w:val="19"/>
          <w:color w:val="auto"/>
        </w:rPr>
        <w:t>internal control over financial reporting.</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7, 2016</w:t>
      </w:r>
    </w:p>
    <w:p>
      <w:pPr>
        <w:spacing w:after="0" w:line="63" w:lineRule="exact"/>
        <w:rPr>
          <w:sz w:val="20"/>
          <w:szCs w:val="20"/>
          <w:color w:val="auto"/>
        </w:rPr>
      </w:pPr>
    </w:p>
    <w:tbl>
      <w:tblPr>
        <w:tblLayout w:type="fixed"/>
        <w:tblInd w:w="20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8400" w:type="dxa"/>
            <w:vAlign w:val="bottom"/>
          </w:tcPr>
          <w:p>
            <w:pPr>
              <w:ind w:left="20"/>
              <w:spacing w:after="0"/>
              <w:rPr>
                <w:sz w:val="20"/>
                <w:szCs w:val="20"/>
                <w:color w:val="auto"/>
              </w:rPr>
            </w:pPr>
            <w:r>
              <w:rPr>
                <w:rFonts w:ascii="Arial" w:cs="Arial" w:eastAsia="Arial" w:hAnsi="Arial"/>
                <w:sz w:val="18"/>
                <w:szCs w:val="18"/>
                <w:color w:val="auto"/>
              </w:rPr>
              <w:t>/s/ Andreas Fibig</w:t>
            </w:r>
          </w:p>
        </w:tc>
      </w:tr>
      <w:tr>
        <w:trPr>
          <w:trHeight w:val="27"/>
        </w:trPr>
        <w:tc>
          <w:tcPr>
            <w:tcW w:w="760" w:type="dxa"/>
            <w:vAlign w:val="bottom"/>
          </w:tcPr>
          <w:p>
            <w:pPr>
              <w:spacing w:after="0"/>
              <w:rPr>
                <w:sz w:val="2"/>
                <w:szCs w:val="2"/>
                <w:color w:val="auto"/>
              </w:rPr>
            </w:pPr>
          </w:p>
        </w:tc>
        <w:tc>
          <w:tcPr>
            <w:tcW w:w="840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8400" w:type="dxa"/>
            <w:vAlign w:val="bottom"/>
          </w:tcPr>
          <w:p>
            <w:pPr>
              <w:ind w:left="20"/>
              <w:spacing w:after="0"/>
              <w:rPr>
                <w:sz w:val="20"/>
                <w:szCs w:val="20"/>
                <w:color w:val="auto"/>
              </w:rPr>
            </w:pPr>
            <w:r>
              <w:rPr>
                <w:rFonts w:ascii="Arial" w:cs="Arial" w:eastAsia="Arial" w:hAnsi="Arial"/>
                <w:sz w:val="18"/>
                <w:szCs w:val="18"/>
                <w:color w:val="auto"/>
              </w:rPr>
              <w:t>Andreas Fibig</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840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r>
    </w:tbl>
    <w:p>
      <w:pPr>
        <w:sectPr>
          <w:pgSz w:w="11900" w:h="16838" w:orient="portrait"/>
          <w:cols w:equalWidth="0" w:num="1">
            <w:col w:w="11420"/>
          </w:cols>
          <w:pgMar w:left="240" w:top="582"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20"/>
          <w:szCs w:val="20"/>
          <w:color w:val="auto"/>
        </w:rPr>
        <w:t>Exhibit 31.2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Richard A. O'Leary, certify that:</w:t>
      </w:r>
    </w:p>
    <w:p>
      <w:pPr>
        <w:spacing w:after="0" w:line="229"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International Flavors &amp; Fragrances Inc.;</w:t>
      </w:r>
    </w:p>
    <w:p>
      <w:pPr>
        <w:spacing w:after="0" w:line="229"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ind w:left="1800" w:right="100" w:hanging="1144"/>
        <w:spacing w:after="0" w:line="291" w:lineRule="auto"/>
        <w:tabs>
          <w:tab w:leader="none" w:pos="131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1800" w:right="60" w:hanging="1144"/>
        <w:spacing w:after="0" w:line="291" w:lineRule="auto"/>
        <w:tabs>
          <w:tab w:leader="none" w:pos="131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ind w:left="1800" w:right="80" w:hanging="1144"/>
        <w:spacing w:after="0" w:line="250" w:lineRule="auto"/>
        <w:tabs>
          <w:tab w:leader="none" w:pos="1314" w:val="left"/>
        </w:tabs>
        <w:numPr>
          <w:ilvl w:val="1"/>
          <w:numId w:val="2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1800" w:right="260" w:hanging="1144"/>
        <w:spacing w:after="0" w:line="246" w:lineRule="auto"/>
        <w:tabs>
          <w:tab w:leader="none" w:pos="1314" w:val="left"/>
        </w:tabs>
        <w:numPr>
          <w:ilvl w:val="1"/>
          <w:numId w:val="26"/>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20"/>
          <w:szCs w:val="20"/>
          <w:color w:val="auto"/>
        </w:rPr>
      </w:pPr>
    </w:p>
    <w:p>
      <w:pPr>
        <w:ind w:left="340" w:right="360" w:hanging="332"/>
        <w:spacing w:after="0" w:line="250" w:lineRule="auto"/>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ind w:left="1800" w:right="160" w:hanging="1144"/>
        <w:spacing w:after="0" w:line="250" w:lineRule="auto"/>
        <w:tabs>
          <w:tab w:leader="none" w:pos="1314" w:val="left"/>
        </w:tabs>
        <w:numPr>
          <w:ilvl w:val="1"/>
          <w:numId w:val="2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800" w:right="20" w:hanging="1144"/>
        <w:spacing w:after="0" w:line="260" w:lineRule="auto"/>
        <w:tabs>
          <w:tab w:leader="none" w:pos="1314" w:val="left"/>
        </w:tabs>
        <w:numPr>
          <w:ilvl w:val="1"/>
          <w:numId w:val="2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7, 2016</w:t>
      </w:r>
    </w:p>
    <w:p>
      <w:pPr>
        <w:spacing w:after="0" w:line="63" w:lineRule="exact"/>
        <w:rPr>
          <w:sz w:val="20"/>
          <w:szCs w:val="20"/>
          <w:color w:val="auto"/>
        </w:rPr>
      </w:pPr>
    </w:p>
    <w:tbl>
      <w:tblPr>
        <w:tblLayout w:type="fixed"/>
        <w:tblInd w:w="24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8320" w:type="dxa"/>
            <w:vAlign w:val="bottom"/>
          </w:tcPr>
          <w:p>
            <w:pPr>
              <w:ind w:left="20"/>
              <w:spacing w:after="0"/>
              <w:rPr>
                <w:sz w:val="20"/>
                <w:szCs w:val="20"/>
                <w:color w:val="auto"/>
              </w:rPr>
            </w:pPr>
            <w:r>
              <w:rPr>
                <w:rFonts w:ascii="Arial" w:cs="Arial" w:eastAsia="Arial" w:hAnsi="Arial"/>
                <w:sz w:val="18"/>
                <w:szCs w:val="18"/>
                <w:color w:val="auto"/>
              </w:rPr>
              <w:t>/s/ Richard A. O'Leary</w:t>
            </w:r>
          </w:p>
        </w:tc>
      </w:tr>
      <w:tr>
        <w:trPr>
          <w:trHeight w:val="27"/>
        </w:trPr>
        <w:tc>
          <w:tcPr>
            <w:tcW w:w="660" w:type="dxa"/>
            <w:vAlign w:val="bottom"/>
          </w:tcPr>
          <w:p>
            <w:pPr>
              <w:spacing w:after="0"/>
              <w:rPr>
                <w:sz w:val="2"/>
                <w:szCs w:val="2"/>
                <w:color w:val="auto"/>
              </w:rPr>
            </w:pPr>
          </w:p>
        </w:tc>
        <w:tc>
          <w:tcPr>
            <w:tcW w:w="83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8320" w:type="dxa"/>
            <w:vAlign w:val="bottom"/>
          </w:tcPr>
          <w:p>
            <w:pPr>
              <w:ind w:left="20"/>
              <w:spacing w:after="0"/>
              <w:rPr>
                <w:sz w:val="20"/>
                <w:szCs w:val="20"/>
                <w:color w:val="auto"/>
              </w:rPr>
            </w:pPr>
            <w:r>
              <w:rPr>
                <w:rFonts w:ascii="Arial" w:cs="Arial" w:eastAsia="Arial" w:hAnsi="Arial"/>
                <w:sz w:val="18"/>
                <w:szCs w:val="18"/>
                <w:color w:val="auto"/>
              </w:rPr>
              <w:t>Richard A. O'Leary</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83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420"/>
          </w:cols>
          <w:pgMar w:left="240" w:top="582"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20"/>
          <w:szCs w:val="20"/>
          <w:color w:val="auto"/>
        </w:rPr>
        <w:t>Exhibit 32</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jc w:val="both"/>
        <w:ind w:right="300"/>
        <w:spacing w:after="0" w:line="263" w:lineRule="auto"/>
        <w:rPr>
          <w:sz w:val="20"/>
          <w:szCs w:val="20"/>
          <w:color w:val="auto"/>
        </w:rPr>
      </w:pPr>
      <w:r>
        <w:rPr>
          <w:rFonts w:ascii="Arial" w:cs="Arial" w:eastAsia="Arial" w:hAnsi="Arial"/>
          <w:sz w:val="19"/>
          <w:szCs w:val="19"/>
          <w:color w:val="auto"/>
        </w:rPr>
        <w:t>In connection with the Quarterly Report on Form 10-Q of International Flavors &amp; Fragrances Inc. (the "Company") for the quarterly period ended September 30, 2016 as filed with the Securities and Exchange Commission on the date hereof (the "Report"), Andreas Fibig, as Chief Executive Officer, and Richard A. O'Leary, as Chief Financial Officer, each hereby certifies, pursuant to 18 U.S.C. Section 1350, as adopted pursuant to Section 906 of the Sarbanes-Oxley Act of 2002, that, to the best of his knowledge:</w:t>
      </w:r>
    </w:p>
    <w:p>
      <w:pPr>
        <w:spacing w:after="0" w:line="190" w:lineRule="exact"/>
        <w:rPr>
          <w:sz w:val="20"/>
          <w:szCs w:val="20"/>
          <w:color w:val="auto"/>
        </w:rPr>
      </w:pPr>
    </w:p>
    <w:p>
      <w:pPr>
        <w:ind w:right="2080" w:firstLine="8"/>
        <w:spacing w:after="0" w:line="479" w:lineRule="auto"/>
        <w:tabs>
          <w:tab w:leader="none" w:pos="2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ind w:right="500" w:firstLine="8"/>
        <w:spacing w:after="0" w:line="260" w:lineRule="auto"/>
        <w:tabs>
          <w:tab w:leader="none" w:pos="2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Pr>
          <w:p>
            <w:pPr>
              <w:ind w:left="20"/>
              <w:spacing w:after="0"/>
              <w:rPr>
                <w:sz w:val="20"/>
                <w:szCs w:val="20"/>
                <w:color w:val="auto"/>
              </w:rPr>
            </w:pPr>
            <w:r>
              <w:rPr>
                <w:rFonts w:ascii="Arial" w:cs="Arial" w:eastAsia="Arial" w:hAnsi="Arial"/>
                <w:sz w:val="18"/>
                <w:szCs w:val="18"/>
                <w:color w:val="auto"/>
              </w:rPr>
              <w:t>/s/ Andreas Fibig</w:t>
            </w:r>
          </w:p>
        </w:tc>
        <w:tc>
          <w:tcPr>
            <w:tcW w:w="580" w:type="dxa"/>
            <w:vAlign w:val="bottom"/>
          </w:tcPr>
          <w:p>
            <w:pPr>
              <w:spacing w:after="0"/>
              <w:rPr>
                <w:sz w:val="20"/>
                <w:szCs w:val="20"/>
                <w:color w:val="auto"/>
              </w:rPr>
            </w:pPr>
          </w:p>
        </w:tc>
      </w:tr>
      <w:tr>
        <w:trPr>
          <w:trHeight w:val="27"/>
        </w:trPr>
        <w:tc>
          <w:tcPr>
            <w:tcW w:w="56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400" w:type="dxa"/>
            <w:vAlign w:val="bottom"/>
          </w:tcPr>
          <w:p>
            <w:pPr>
              <w:ind w:left="20"/>
              <w:spacing w:after="0"/>
              <w:rPr>
                <w:sz w:val="20"/>
                <w:szCs w:val="20"/>
                <w:color w:val="auto"/>
              </w:rPr>
            </w:pPr>
            <w:r>
              <w:rPr>
                <w:rFonts w:ascii="Arial" w:cs="Arial" w:eastAsia="Arial" w:hAnsi="Arial"/>
                <w:sz w:val="18"/>
                <w:szCs w:val="18"/>
                <w:color w:val="auto"/>
              </w:rPr>
              <w:t>Andreas Fibig</w:t>
            </w:r>
          </w:p>
        </w:tc>
        <w:tc>
          <w:tcPr>
            <w:tcW w:w="580" w:type="dxa"/>
            <w:vAlign w:val="bottom"/>
          </w:tcPr>
          <w:p>
            <w:pPr>
              <w:spacing w:after="0"/>
              <w:rPr>
                <w:sz w:val="20"/>
                <w:szCs w:val="20"/>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c>
          <w:tcPr>
            <w:tcW w:w="580" w:type="dxa"/>
            <w:vAlign w:val="bottom"/>
          </w:tcPr>
          <w:p>
            <w:pPr>
              <w:spacing w:after="0"/>
              <w:rPr>
                <w:sz w:val="23"/>
                <w:szCs w:val="23"/>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4400" w:type="dxa"/>
            <w:vAlign w:val="bottom"/>
          </w:tcPr>
          <w:p>
            <w:pPr>
              <w:ind w:left="20"/>
              <w:spacing w:after="0"/>
              <w:rPr>
                <w:sz w:val="20"/>
                <w:szCs w:val="20"/>
                <w:color w:val="auto"/>
              </w:rPr>
            </w:pPr>
            <w:r>
              <w:rPr>
                <w:rFonts w:ascii="Arial" w:cs="Arial" w:eastAsia="Arial" w:hAnsi="Arial"/>
                <w:sz w:val="18"/>
                <w:szCs w:val="18"/>
                <w:color w:val="auto"/>
              </w:rPr>
              <w:t>November 7, 2016</w:t>
            </w:r>
          </w:p>
        </w:tc>
        <w:tc>
          <w:tcPr>
            <w:tcW w:w="580" w:type="dxa"/>
            <w:vAlign w:val="bottom"/>
          </w:tcPr>
          <w:p>
            <w:pPr>
              <w:spacing w:after="0"/>
              <w:rPr>
                <w:sz w:val="23"/>
                <w:szCs w:val="23"/>
                <w:color w:val="auto"/>
              </w:rPr>
            </w:pPr>
          </w:p>
        </w:tc>
      </w:tr>
      <w:tr>
        <w:trPr>
          <w:trHeight w:val="40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Pr>
          <w:p>
            <w:pPr>
              <w:ind w:left="20"/>
              <w:spacing w:after="0"/>
              <w:rPr>
                <w:sz w:val="20"/>
                <w:szCs w:val="20"/>
                <w:color w:val="auto"/>
              </w:rPr>
            </w:pPr>
            <w:r>
              <w:rPr>
                <w:rFonts w:ascii="Arial" w:cs="Arial" w:eastAsia="Arial" w:hAnsi="Arial"/>
                <w:sz w:val="18"/>
                <w:szCs w:val="18"/>
                <w:color w:val="auto"/>
              </w:rPr>
              <w:t>/s/ Richard A. O'Leary</w:t>
            </w:r>
          </w:p>
        </w:tc>
        <w:tc>
          <w:tcPr>
            <w:tcW w:w="580" w:type="dxa"/>
            <w:vAlign w:val="bottom"/>
          </w:tcPr>
          <w:p>
            <w:pPr>
              <w:spacing w:after="0"/>
              <w:rPr>
                <w:sz w:val="24"/>
                <w:szCs w:val="24"/>
                <w:color w:val="auto"/>
              </w:rPr>
            </w:pPr>
          </w:p>
        </w:tc>
      </w:tr>
      <w:tr>
        <w:trPr>
          <w:trHeight w:val="27"/>
        </w:trPr>
        <w:tc>
          <w:tcPr>
            <w:tcW w:w="56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400" w:type="dxa"/>
            <w:vAlign w:val="bottom"/>
          </w:tcPr>
          <w:p>
            <w:pPr>
              <w:ind w:left="20"/>
              <w:spacing w:after="0"/>
              <w:rPr>
                <w:sz w:val="20"/>
                <w:szCs w:val="20"/>
                <w:color w:val="auto"/>
              </w:rPr>
            </w:pPr>
            <w:r>
              <w:rPr>
                <w:rFonts w:ascii="Arial" w:cs="Arial" w:eastAsia="Arial" w:hAnsi="Arial"/>
                <w:sz w:val="18"/>
                <w:szCs w:val="18"/>
                <w:color w:val="auto"/>
              </w:rPr>
              <w:t>Richard A. O'Leary</w:t>
            </w:r>
          </w:p>
        </w:tc>
        <w:tc>
          <w:tcPr>
            <w:tcW w:w="580" w:type="dxa"/>
            <w:vAlign w:val="bottom"/>
          </w:tcPr>
          <w:p>
            <w:pPr>
              <w:spacing w:after="0"/>
              <w:rPr>
                <w:sz w:val="20"/>
                <w:szCs w:val="20"/>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580" w:type="dxa"/>
            <w:vAlign w:val="bottom"/>
          </w:tcPr>
          <w:p>
            <w:pPr>
              <w:spacing w:after="0"/>
              <w:rPr>
                <w:sz w:val="23"/>
                <w:szCs w:val="23"/>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4400" w:type="dxa"/>
            <w:vAlign w:val="bottom"/>
          </w:tcPr>
          <w:p>
            <w:pPr>
              <w:ind w:left="20"/>
              <w:spacing w:after="0"/>
              <w:rPr>
                <w:sz w:val="20"/>
                <w:szCs w:val="20"/>
                <w:color w:val="auto"/>
              </w:rPr>
            </w:pPr>
            <w:r>
              <w:rPr>
                <w:rFonts w:ascii="Arial" w:cs="Arial" w:eastAsia="Arial" w:hAnsi="Arial"/>
                <w:sz w:val="18"/>
                <w:szCs w:val="18"/>
                <w:color w:val="auto"/>
              </w:rPr>
              <w:t>November 7, 2016</w:t>
            </w:r>
          </w:p>
        </w:tc>
        <w:tc>
          <w:tcPr>
            <w:tcW w:w="58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420"/>
      </w:cols>
      <w:pgMar w:left="240" w:top="6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3"/>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lowerLetter"/>
      <w:start w:val="1"/>
    </w:lvl>
  </w:abstractNum>
  <w:abstractNum w:abstractNumId="8">
    <w:nsid w:val="431BD7B7"/>
    <w:multiLevelType w:val="hybridMultilevel"/>
    <w:lvl w:ilvl="0">
      <w:lvlJc w:val="left"/>
      <w:lvlText w:val="(%1)"/>
      <w:numFmt w:val="lowerLetter"/>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lvl w:ilvl="1">
      <w:lvlJc w:val="left"/>
      <w:lvlText w:val="•"/>
      <w:numFmt w:val="bullet"/>
      <w:start w:val="1"/>
    </w:lvl>
  </w:abstractNum>
  <w:abstractNum w:abstractNumId="11">
    <w:nsid w:val="257130A3"/>
    <w:multiLevelType w:val="hybridMultilevel"/>
    <w:lvl w:ilvl="0">
      <w:lvlJc w:val="left"/>
      <w:lvlText w:val="(%1)"/>
      <w:numFmt w:val="decimal"/>
      <w:start w:val="1"/>
    </w:lvl>
    <w:lvl w:ilvl="1">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upperLetter"/>
      <w:start w:val="1"/>
    </w:lvl>
    <w:lvl w:ilvl="1">
      <w:lvlJc w:val="left"/>
      <w:lvlText w:val="(%2)"/>
      <w:numFmt w:val="decimal"/>
      <w:start w:val="1"/>
    </w:lvl>
  </w:abstractNum>
  <w:abstractNum w:abstractNumId="20">
    <w:nsid w:val="75A2A8D4"/>
    <w:multiLevelType w:val="hybridMultilevel"/>
    <w:lvl w:ilvl="0">
      <w:lvlJc w:val="left"/>
      <w:lvlText w:val="%1."/>
      <w:numFmt w:val="upperLetter"/>
      <w:start w:val="3"/>
    </w:lvl>
    <w:lvl w:ilvl="1">
      <w:lvlJc w:val="left"/>
      <w:lvlText w:val="%2"/>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32"/>
    </w:lvl>
  </w:abstractNum>
  <w:abstractNum w:abstractNumId="23">
    <w:nsid w:val="4353D0CD"/>
    <w:multiLevelType w:val="hybridMultilevel"/>
    <w:lvl w:ilvl="0">
      <w:lvlJc w:val="left"/>
      <w:lvlText w:val="%1"/>
      <w:numFmt w:val="decimal"/>
      <w:start w:val="32"/>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2019-12-05T07:21:08Z</dcterms:created>
  <dcterms:modified xsi:type="dcterms:W3CDTF">2019-12-05T07:21:08Z</dcterms:modified>
</cp:coreProperties>
</file>