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1-4858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INTERNATIONAL FLAVORS &amp;</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FRAGRANCES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33" w:right="2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13-1432060</w:t>
      </w:r>
    </w:p>
    <w:p>
      <w:pPr>
        <w:spacing w:after="0" w:line="81" w:lineRule="exact"/>
        <w:rPr>
          <w:sz w:val="24"/>
          <w:szCs w:val="24"/>
          <w:color w:val="auto"/>
        </w:rPr>
      </w:pPr>
    </w:p>
    <w:p>
      <w:pPr>
        <w:sectPr>
          <w:pgSz w:w="11900" w:h="16838" w:orient="portrait"/>
          <w:cols w:equalWidth="0" w:num="2">
            <w:col w:w="7420" w:space="720"/>
            <w:col w:w="3280"/>
          </w:cols>
          <w:pgMar w:left="240" w:top="733" w:right="23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2">
            <w:col w:w="7280" w:space="720"/>
            <w:col w:w="3420"/>
          </w:cols>
          <w:pgMar w:left="240" w:top="733" w:right="239" w:bottom="1440" w:gutter="0" w:footer="0" w:header="0"/>
          <w:type w:val="continuous"/>
        </w:sectPr>
      </w:pPr>
    </w:p>
    <w:p>
      <w:pPr>
        <w:ind w:left="3820"/>
        <w:spacing w:after="0"/>
        <w:rPr>
          <w:sz w:val="20"/>
          <w:szCs w:val="20"/>
          <w:color w:val="auto"/>
        </w:rPr>
      </w:pPr>
      <w:r>
        <w:rPr>
          <w:rFonts w:ascii="Arial" w:cs="Arial" w:eastAsia="Arial" w:hAnsi="Arial"/>
          <w:sz w:val="16"/>
          <w:szCs w:val="16"/>
          <w:b w:val="1"/>
          <w:bCs w:val="1"/>
          <w:color w:val="auto"/>
        </w:rPr>
        <w:t>521 West 57th Street, New York, N.Y. 10019-2960</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420"/>
          </w:cols>
          <w:pgMar w:left="240" w:top="733" w:right="239" w:bottom="1440" w:gutter="0" w:footer="0" w:header="0"/>
          <w:type w:val="continuous"/>
        </w:sectPr>
      </w:pP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(212) 765-5500</w:t>
      </w:r>
    </w:p>
    <w:p>
      <w:pPr>
        <w:spacing w:after="0" w:line="202"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57"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2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260"/>
              <w:spacing w:after="0"/>
              <w:rPr>
                <w:sz w:val="20"/>
                <w:szCs w:val="20"/>
                <w:color w:val="auto"/>
              </w:rPr>
            </w:pPr>
            <w:r>
              <w:rPr>
                <w:rFonts w:ascii="Arial" w:cs="Arial" w:eastAsia="Arial" w:hAnsi="Arial"/>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3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2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260"/>
              <w:spacing w:after="0"/>
              <w:rPr>
                <w:sz w:val="20"/>
                <w:szCs w:val="20"/>
                <w:color w:val="auto"/>
              </w:rPr>
            </w:pPr>
            <w:r>
              <w:rPr>
                <w:rFonts w:ascii="Arial" w:cs="Arial" w:eastAsia="Arial" w:hAnsi="Arial"/>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60" w:type="dxa"/>
            <w:vAlign w:val="bottom"/>
          </w:tcPr>
          <w:p>
            <w:pPr>
              <w:ind w:left="260"/>
              <w:spacing w:after="0"/>
              <w:rPr>
                <w:sz w:val="20"/>
                <w:szCs w:val="20"/>
                <w:color w:val="auto"/>
              </w:rPr>
            </w:pPr>
            <w:r>
              <w:rPr>
                <w:rFonts w:ascii="Arial" w:cs="Arial" w:eastAsia="Arial" w:hAnsi="Arial"/>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188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outstanding as of July 24, 2018: 79,047,426</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03" w:lineRule="auto"/>
        <w:rPr>
          <w:sz w:val="20"/>
          <w:szCs w:val="20"/>
          <w:color w:val="auto"/>
        </w:rPr>
      </w:pPr>
      <w:r>
        <w:rPr>
          <w:rFonts w:ascii="Arial" w:cs="Arial" w:eastAsia="Arial" w:hAnsi="Arial"/>
          <w:sz w:val="18"/>
          <w:szCs w:val="18"/>
          <w:b w:val="1"/>
          <w:bCs w:val="1"/>
          <w:color w:val="auto"/>
        </w:rPr>
        <w:t>INTERNATIONAL FLAVORS &amp; FRAGRANCES INC.</w:t>
      </w:r>
    </w:p>
    <w:p>
      <w:pPr>
        <w:jc w:val="center"/>
        <w:spacing w:after="0" w:line="204" w:lineRule="auto"/>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gridSpan w:val="3"/>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7"/>
                <w:szCs w:val="17"/>
                <w:color w:val="auto"/>
              </w:rPr>
            </w:pPr>
          </w:p>
        </w:tc>
        <w:tc>
          <w:tcPr>
            <w:tcW w:w="18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2018</w:t>
            </w:r>
          </w:p>
        </w:tc>
        <w:tc>
          <w:tcPr>
            <w:tcW w:w="200" w:type="dxa"/>
            <w:vAlign w:val="bottom"/>
          </w:tcPr>
          <w:p>
            <w:pPr>
              <w:spacing w:after="0"/>
              <w:rPr>
                <w:sz w:val="17"/>
                <w:szCs w:val="17"/>
                <w:color w:val="auto"/>
              </w:rPr>
            </w:pPr>
          </w:p>
        </w:tc>
        <w:tc>
          <w:tcPr>
            <w:tcW w:w="1840" w:type="dxa"/>
            <w:vAlign w:val="bottom"/>
          </w:tcPr>
          <w:p>
            <w:pPr>
              <w:jc w:val="right"/>
              <w:ind w:right="218"/>
              <w:spacing w:after="0"/>
              <w:rPr>
                <w:sz w:val="20"/>
                <w:szCs w:val="20"/>
                <w:color w:val="auto"/>
              </w:rPr>
            </w:pPr>
            <w:r>
              <w:rPr>
                <w:rFonts w:ascii="Arial" w:cs="Arial" w:eastAsia="Arial" w:hAnsi="Arial"/>
                <w:sz w:val="18"/>
                <w:szCs w:val="18"/>
                <w:b w:val="1"/>
                <w:bCs w:val="1"/>
                <w:color w:val="auto"/>
                <w:w w:val="93"/>
              </w:rPr>
              <w:t>December 31, 2017</w:t>
            </w:r>
          </w:p>
        </w:tc>
      </w:tr>
      <w:tr>
        <w:trPr>
          <w:trHeight w:val="48"/>
        </w:trPr>
        <w:tc>
          <w:tcPr>
            <w:tcW w:w="40" w:type="dxa"/>
            <w:vAlign w:val="bottom"/>
            <w:tcBorders>
              <w:bottom w:val="single" w:sz="8" w:color="CCEEFF"/>
            </w:tcBorders>
          </w:tcPr>
          <w:p>
            <w:pPr>
              <w:spacing w:after="0"/>
              <w:rPr>
                <w:sz w:val="4"/>
                <w:szCs w:val="4"/>
                <w:color w:val="auto"/>
              </w:rPr>
            </w:pPr>
          </w:p>
        </w:tc>
        <w:tc>
          <w:tcPr>
            <w:tcW w:w="1960" w:type="dxa"/>
            <w:vAlign w:val="bottom"/>
            <w:tcBorders>
              <w:top w:val="single" w:sz="8" w:color="auto"/>
              <w:bottom w:val="single" w:sz="8" w:color="CCEEFF"/>
            </w:tcBorders>
          </w:tcPr>
          <w:p>
            <w:pPr>
              <w:spacing w:after="0"/>
              <w:rPr>
                <w:sz w:val="4"/>
                <w:szCs w:val="4"/>
                <w:color w:val="auto"/>
              </w:rPr>
            </w:pPr>
          </w:p>
        </w:tc>
        <w:tc>
          <w:tcPr>
            <w:tcW w:w="52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r>
        <w:trPr>
          <w:trHeight w:val="204"/>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60"/>
        </w:trPr>
        <w:tc>
          <w:tcPr>
            <w:tcW w:w="40" w:type="dxa"/>
            <w:vAlign w:val="bottom"/>
            <w:shd w:val="clear" w:color="auto" w:fill="CCEEFF"/>
          </w:tcPr>
          <w:p>
            <w:pPr>
              <w:spacing w:after="0"/>
              <w:rPr>
                <w:sz w:val="5"/>
                <w:szCs w:val="5"/>
                <w:color w:val="auto"/>
              </w:rPr>
            </w:pPr>
          </w:p>
        </w:tc>
        <w:tc>
          <w:tcPr>
            <w:tcW w:w="1960" w:type="dxa"/>
            <w:vAlign w:val="bottom"/>
            <w:shd w:val="clear" w:color="auto" w:fill="CCEEFF"/>
          </w:tcPr>
          <w:p>
            <w:pPr>
              <w:spacing w:after="0"/>
              <w:rPr>
                <w:sz w:val="5"/>
                <w:szCs w:val="5"/>
                <w:color w:val="auto"/>
              </w:rPr>
            </w:pPr>
          </w:p>
        </w:tc>
        <w:tc>
          <w:tcPr>
            <w:tcW w:w="52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r>
      <w:tr>
        <w:trPr>
          <w:trHeight w:val="224"/>
        </w:trPr>
        <w:tc>
          <w:tcPr>
            <w:tcW w:w="7200" w:type="dxa"/>
            <w:vAlign w:val="bottom"/>
            <w:gridSpan w:val="3"/>
          </w:tcPr>
          <w:p>
            <w:pPr>
              <w:ind w:left="4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5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40" w:type="dxa"/>
            <w:vAlign w:val="bottom"/>
          </w:tcPr>
          <w:p>
            <w:pPr>
              <w:spacing w:after="0"/>
              <w:rPr>
                <w:sz w:val="4"/>
                <w:szCs w:val="4"/>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322,423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368,046</w:t>
            </w: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6"/>
                <w:szCs w:val="16"/>
                <w:color w:val="auto"/>
              </w:rPr>
              <w:t>Trade receivables (net of allowances of $13,622 and $13,392, respectively)</w:t>
            </w:r>
          </w:p>
        </w:tc>
        <w:tc>
          <w:tcPr>
            <w:tcW w:w="320" w:type="dxa"/>
            <w:vAlign w:val="bottom"/>
          </w:tcPr>
          <w:p>
            <w:pPr>
              <w:spacing w:after="0"/>
              <w:rPr>
                <w:sz w:val="20"/>
                <w:szCs w:val="20"/>
                <w:color w:val="auto"/>
              </w:rPr>
            </w:pPr>
          </w:p>
        </w:tc>
        <w:tc>
          <w:tcPr>
            <w:tcW w:w="1760" w:type="dxa"/>
            <w:vAlign w:val="bottom"/>
          </w:tcPr>
          <w:p>
            <w:pPr>
              <w:jc w:val="right"/>
              <w:ind w:right="38"/>
              <w:spacing w:after="0"/>
              <w:rPr>
                <w:sz w:val="20"/>
                <w:szCs w:val="20"/>
                <w:color w:val="auto"/>
              </w:rPr>
            </w:pPr>
            <w:r>
              <w:rPr>
                <w:rFonts w:ascii="Arial" w:cs="Arial" w:eastAsia="Arial" w:hAnsi="Arial"/>
                <w:sz w:val="16"/>
                <w:szCs w:val="16"/>
                <w:color w:val="auto"/>
              </w:rPr>
              <w:t>723,855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18"/>
              <w:spacing w:after="0"/>
              <w:rPr>
                <w:sz w:val="20"/>
                <w:szCs w:val="20"/>
                <w:color w:val="auto"/>
              </w:rPr>
            </w:pPr>
            <w:r>
              <w:rPr>
                <w:rFonts w:ascii="Arial" w:cs="Arial" w:eastAsia="Arial" w:hAnsi="Arial"/>
                <w:sz w:val="16"/>
                <w:szCs w:val="16"/>
                <w:color w:val="auto"/>
              </w:rPr>
              <w:t>663,663</w:t>
            </w: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Inventories: Raw materials</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353,220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326,140</w:t>
            </w:r>
          </w:p>
        </w:tc>
      </w:tr>
      <w:tr>
        <w:trPr>
          <w:trHeight w:val="237"/>
        </w:trPr>
        <w:tc>
          <w:tcPr>
            <w:tcW w:w="40" w:type="dxa"/>
            <w:vAlign w:val="bottom"/>
          </w:tcPr>
          <w:p>
            <w:pPr>
              <w:spacing w:after="0"/>
              <w:rPr>
                <w:sz w:val="20"/>
                <w:szCs w:val="20"/>
                <w:color w:val="auto"/>
              </w:rPr>
            </w:pPr>
          </w:p>
        </w:tc>
        <w:tc>
          <w:tcPr>
            <w:tcW w:w="7160" w:type="dxa"/>
            <w:vAlign w:val="bottom"/>
            <w:gridSpan w:val="2"/>
          </w:tcPr>
          <w:p>
            <w:pPr>
              <w:ind w:left="340"/>
              <w:spacing w:after="0"/>
              <w:rPr>
                <w:sz w:val="20"/>
                <w:szCs w:val="20"/>
                <w:color w:val="auto"/>
              </w:rPr>
            </w:pPr>
            <w:r>
              <w:rPr>
                <w:rFonts w:ascii="Arial" w:cs="Arial" w:eastAsia="Arial" w:hAnsi="Arial"/>
                <w:sz w:val="16"/>
                <w:szCs w:val="16"/>
                <w:color w:val="auto"/>
              </w:rPr>
              <w:t>Work in process</w:t>
            </w:r>
          </w:p>
        </w:tc>
        <w:tc>
          <w:tcPr>
            <w:tcW w:w="320" w:type="dxa"/>
            <w:vAlign w:val="bottom"/>
          </w:tcPr>
          <w:p>
            <w:pPr>
              <w:spacing w:after="0"/>
              <w:rPr>
                <w:sz w:val="20"/>
                <w:szCs w:val="20"/>
                <w:color w:val="auto"/>
              </w:rPr>
            </w:pPr>
          </w:p>
        </w:tc>
        <w:tc>
          <w:tcPr>
            <w:tcW w:w="1760" w:type="dxa"/>
            <w:vAlign w:val="bottom"/>
          </w:tcPr>
          <w:p>
            <w:pPr>
              <w:jc w:val="right"/>
              <w:ind w:right="38"/>
              <w:spacing w:after="0"/>
              <w:rPr>
                <w:sz w:val="20"/>
                <w:szCs w:val="20"/>
                <w:color w:val="auto"/>
              </w:rPr>
            </w:pPr>
            <w:r>
              <w:rPr>
                <w:rFonts w:ascii="Arial" w:cs="Arial" w:eastAsia="Arial" w:hAnsi="Arial"/>
                <w:sz w:val="16"/>
                <w:szCs w:val="16"/>
                <w:color w:val="auto"/>
              </w:rPr>
              <w:t>23,671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18"/>
              <w:spacing w:after="0"/>
              <w:rPr>
                <w:sz w:val="20"/>
                <w:szCs w:val="20"/>
                <w:color w:val="auto"/>
              </w:rPr>
            </w:pPr>
            <w:r>
              <w:rPr>
                <w:rFonts w:ascii="Arial" w:cs="Arial" w:eastAsia="Arial" w:hAnsi="Arial"/>
                <w:sz w:val="16"/>
                <w:szCs w:val="16"/>
                <w:color w:val="auto"/>
              </w:rPr>
              <w:t>16,431</w:t>
            </w: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318,301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306,877</w:t>
            </w:r>
          </w:p>
        </w:tc>
      </w:tr>
      <w:tr>
        <w:trPr>
          <w:trHeight w:val="217"/>
        </w:trPr>
        <w:tc>
          <w:tcPr>
            <w:tcW w:w="40" w:type="dxa"/>
            <w:vAlign w:val="bottom"/>
          </w:tcPr>
          <w:p>
            <w:pPr>
              <w:spacing w:after="0"/>
              <w:rPr>
                <w:sz w:val="18"/>
                <w:szCs w:val="18"/>
                <w:color w:val="auto"/>
              </w:rPr>
            </w:pPr>
          </w:p>
        </w:tc>
        <w:tc>
          <w:tcPr>
            <w:tcW w:w="7160" w:type="dxa"/>
            <w:vAlign w:val="bottom"/>
            <w:gridSpan w:val="2"/>
          </w:tcPr>
          <w:p>
            <w:pPr>
              <w:ind w:left="340"/>
              <w:spacing w:after="0"/>
              <w:rPr>
                <w:sz w:val="20"/>
                <w:szCs w:val="20"/>
                <w:color w:val="auto"/>
              </w:rPr>
            </w:pPr>
            <w:r>
              <w:rPr>
                <w:rFonts w:ascii="Arial" w:cs="Arial" w:eastAsia="Arial" w:hAnsi="Arial"/>
                <w:sz w:val="16"/>
                <w:szCs w:val="16"/>
                <w:color w:val="auto"/>
              </w:rPr>
              <w:t>Total Inventories</w:t>
            </w: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695,192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649,448</w:t>
            </w: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285,110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215,387</w:t>
            </w:r>
          </w:p>
        </w:tc>
      </w:tr>
      <w:tr>
        <w:trPr>
          <w:trHeight w:val="217"/>
        </w:trPr>
        <w:tc>
          <w:tcPr>
            <w:tcW w:w="40" w:type="dxa"/>
            <w:vAlign w:val="bottom"/>
          </w:tcPr>
          <w:p>
            <w:pPr>
              <w:spacing w:after="0"/>
              <w:rPr>
                <w:sz w:val="18"/>
                <w:szCs w:val="18"/>
                <w:color w:val="auto"/>
              </w:rPr>
            </w:pPr>
          </w:p>
        </w:tc>
        <w:tc>
          <w:tcPr>
            <w:tcW w:w="7160" w:type="dxa"/>
            <w:vAlign w:val="bottom"/>
            <w:gridSpan w:val="2"/>
          </w:tcPr>
          <w:p>
            <w:pPr>
              <w:ind w:left="140"/>
              <w:spacing w:after="0"/>
              <w:rPr>
                <w:sz w:val="20"/>
                <w:szCs w:val="20"/>
                <w:color w:val="auto"/>
              </w:rPr>
            </w:pPr>
            <w:r>
              <w:rPr>
                <w:rFonts w:ascii="Arial" w:cs="Arial" w:eastAsia="Arial" w:hAnsi="Arial"/>
                <w:sz w:val="16"/>
                <w:szCs w:val="16"/>
                <w:color w:val="auto"/>
              </w:rPr>
              <w:t>Total Current Assets</w:t>
            </w: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2,026,580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1,896,544</w:t>
            </w: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Property, plant and equipment, at cost</w:t>
            </w:r>
          </w:p>
        </w:tc>
        <w:tc>
          <w:tcPr>
            <w:tcW w:w="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2,098,513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2,090,755</w:t>
            </w: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6"/>
                <w:szCs w:val="16"/>
                <w:color w:val="auto"/>
              </w:rPr>
              <w:t>Accumulated depreciation</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(1,230,884)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(1,210,175)</w:t>
            </w: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867,629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880,580</w:t>
            </w:r>
          </w:p>
        </w:tc>
      </w:tr>
      <w:tr>
        <w:trPr>
          <w:trHeight w:val="217"/>
        </w:trPr>
        <w:tc>
          <w:tcPr>
            <w:tcW w:w="720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1,148,586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1,156,288</w:t>
            </w: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391,426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415,787</w:t>
            </w: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760" w:type="dxa"/>
            <w:vAlign w:val="bottom"/>
          </w:tcPr>
          <w:p>
            <w:pPr>
              <w:jc w:val="right"/>
              <w:ind w:right="38"/>
              <w:spacing w:after="0"/>
              <w:rPr>
                <w:sz w:val="20"/>
                <w:szCs w:val="20"/>
                <w:color w:val="auto"/>
              </w:rPr>
            </w:pPr>
            <w:r>
              <w:rPr>
                <w:rFonts w:ascii="Arial" w:cs="Arial" w:eastAsia="Arial" w:hAnsi="Arial"/>
                <w:sz w:val="16"/>
                <w:szCs w:val="16"/>
                <w:color w:val="auto"/>
              </w:rPr>
              <w:t>82,204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18"/>
              <w:spacing w:after="0"/>
              <w:rPr>
                <w:sz w:val="20"/>
                <w:szCs w:val="20"/>
                <w:color w:val="auto"/>
              </w:rPr>
            </w:pPr>
            <w:r>
              <w:rPr>
                <w:rFonts w:ascii="Arial" w:cs="Arial" w:eastAsia="Arial" w:hAnsi="Arial"/>
                <w:sz w:val="16"/>
                <w:szCs w:val="16"/>
                <w:color w:val="auto"/>
              </w:rPr>
              <w:t>99,777</w:t>
            </w: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157,017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149,950</w:t>
            </w:r>
          </w:p>
        </w:tc>
      </w:tr>
      <w:tr>
        <w:trPr>
          <w:trHeight w:val="217"/>
        </w:trPr>
        <w:tc>
          <w:tcPr>
            <w:tcW w:w="7200" w:type="dxa"/>
            <w:vAlign w:val="bottom"/>
            <w:gridSpan w:val="3"/>
          </w:tcPr>
          <w:p>
            <w:pPr>
              <w:ind w:left="40"/>
              <w:spacing w:after="0"/>
              <w:rPr>
                <w:sz w:val="20"/>
                <w:szCs w:val="20"/>
                <w:color w:val="auto"/>
              </w:rPr>
            </w:pPr>
            <w:r>
              <w:rPr>
                <w:rFonts w:ascii="Arial" w:cs="Arial" w:eastAsia="Arial" w:hAnsi="Arial"/>
                <w:sz w:val="16"/>
                <w:szCs w:val="16"/>
                <w:color w:val="auto"/>
              </w:rPr>
              <w:t>Total Assets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4,673,442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4,598,926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97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 AND SHAREHOLDERS’ EQUITY</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90" w:lineRule="exact"/>
        <w:rPr>
          <w:sz w:val="20"/>
          <w:szCs w:val="20"/>
          <w:color w:val="auto"/>
        </w:rPr>
      </w:pPr>
    </w:p>
    <w:p>
      <w:pPr>
        <w:ind w:left="40"/>
        <w:spacing w:after="0"/>
        <w:tabs>
          <w:tab w:leader="none" w:pos="7220" w:val="left"/>
        </w:tabs>
        <w:rPr>
          <w:sz w:val="20"/>
          <w:szCs w:val="20"/>
          <w:color w:val="auto"/>
        </w:rPr>
      </w:pPr>
      <w:r>
        <w:rPr>
          <w:rFonts w:ascii="Arial" w:cs="Arial" w:eastAsia="Arial" w:hAnsi="Arial"/>
          <w:sz w:val="16"/>
          <w:szCs w:val="16"/>
          <w:color w:val="auto"/>
        </w:rPr>
        <w:t>Short term borrowings</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payroll and bonus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Retirement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Other Liabilities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Commitments and Contingencies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Shareholders’ Equity:</w:t>
      </w:r>
    </w:p>
    <w:p>
      <w:pPr>
        <w:spacing w:after="0" w:line="90" w:lineRule="exact"/>
        <w:rPr>
          <w:sz w:val="20"/>
          <w:szCs w:val="20"/>
          <w:color w:val="auto"/>
        </w:rPr>
      </w:pPr>
    </w:p>
    <w:p>
      <w:pPr>
        <w:ind w:left="380" w:right="660"/>
        <w:spacing w:after="0" w:line="278" w:lineRule="auto"/>
        <w:rPr>
          <w:sz w:val="20"/>
          <w:szCs w:val="20"/>
          <w:color w:val="auto"/>
        </w:rPr>
      </w:pPr>
      <w:r>
        <w:rPr>
          <w:rFonts w:ascii="Arial" w:cs="Arial" w:eastAsia="Arial" w:hAnsi="Arial"/>
          <w:sz w:val="16"/>
          <w:szCs w:val="16"/>
          <w:color w:val="auto"/>
        </w:rPr>
        <w:t>Common stock 12 1/2¢ par value; 500,000,000 shares authorized; 115,858,190 shares issued as of June 30, 2018 and December 31, 2017; and 79,046,217 and 78,947,381 shares outstanding as of June 30,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Capital in excess of par value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380" w:right="660"/>
        <w:spacing w:after="0" w:line="288" w:lineRule="auto"/>
        <w:rPr>
          <w:sz w:val="20"/>
          <w:szCs w:val="20"/>
          <w:color w:val="auto"/>
        </w:rPr>
      </w:pPr>
      <w:r>
        <w:rPr>
          <w:rFonts w:ascii="Arial" w:cs="Arial" w:eastAsia="Arial" w:hAnsi="Arial"/>
          <w:sz w:val="16"/>
          <w:szCs w:val="16"/>
          <w:color w:val="auto"/>
        </w:rPr>
        <w:t>Treasury stock, at cost (36,811,973 and 36,910,809 shares as of June 30, 2018 and December 31, 2017, respectively)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06"/>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6,500</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6,966</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315,656</w:t>
            </w:r>
          </w:p>
        </w:tc>
        <w:tc>
          <w:tcPr>
            <w:tcW w:w="70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338,188</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59,278</w:t>
            </w:r>
          </w:p>
        </w:tc>
        <w:tc>
          <w:tcPr>
            <w:tcW w:w="70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88,361</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54,488</w:t>
            </w:r>
          </w:p>
        </w:tc>
        <w:tc>
          <w:tcPr>
            <w:tcW w:w="70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54,420</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263,448</w:t>
            </w:r>
          </w:p>
        </w:tc>
        <w:tc>
          <w:tcPr>
            <w:tcW w:w="70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280,833</w:t>
            </w:r>
          </w:p>
        </w:tc>
      </w:tr>
      <w:tr>
        <w:trPr>
          <w:trHeight w:val="33"/>
        </w:trPr>
        <w:tc>
          <w:tcPr>
            <w:tcW w:w="8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699,370</w:t>
            </w:r>
          </w:p>
        </w:tc>
        <w:tc>
          <w:tcPr>
            <w:tcW w:w="7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768,768</w:t>
            </w:r>
          </w:p>
        </w:tc>
      </w:tr>
      <w:tr>
        <w:trPr>
          <w:trHeight w:val="33"/>
        </w:trPr>
        <w:tc>
          <w:tcPr>
            <w:tcW w:w="8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860" w:type="dxa"/>
            <w:vAlign w:val="bottom"/>
          </w:tcPr>
          <w:p>
            <w:pPr>
              <w:jc w:val="right"/>
              <w:ind w:right="139"/>
              <w:spacing w:after="0"/>
              <w:rPr>
                <w:sz w:val="20"/>
                <w:szCs w:val="20"/>
                <w:color w:val="auto"/>
              </w:rPr>
            </w:pPr>
            <w:r>
              <w:rPr>
                <w:rFonts w:ascii="Arial" w:cs="Arial" w:eastAsia="Arial" w:hAnsi="Arial"/>
                <w:sz w:val="16"/>
                <w:szCs w:val="16"/>
                <w:color w:val="auto"/>
                <w:w w:val="87"/>
              </w:rPr>
              <w:t>1,717,189</w:t>
            </w:r>
          </w:p>
        </w:tc>
        <w:tc>
          <w:tcPr>
            <w:tcW w:w="7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1,632,186</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35,824</w:t>
            </w:r>
          </w:p>
        </w:tc>
        <w:tc>
          <w:tcPr>
            <w:tcW w:w="70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37,344</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226,221</w:t>
            </w:r>
          </w:p>
        </w:tc>
        <w:tc>
          <w:tcPr>
            <w:tcW w:w="70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228,936</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238,635</w:t>
            </w:r>
          </w:p>
        </w:tc>
        <w:tc>
          <w:tcPr>
            <w:tcW w:w="70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242,398</w:t>
            </w:r>
          </w:p>
        </w:tc>
      </w:tr>
      <w:tr>
        <w:trPr>
          <w:trHeight w:val="33"/>
        </w:trPr>
        <w:tc>
          <w:tcPr>
            <w:tcW w:w="8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860" w:type="dxa"/>
            <w:vAlign w:val="bottom"/>
          </w:tcPr>
          <w:p>
            <w:pPr>
              <w:jc w:val="right"/>
              <w:ind w:right="139"/>
              <w:spacing w:after="0"/>
              <w:rPr>
                <w:sz w:val="20"/>
                <w:szCs w:val="20"/>
                <w:color w:val="auto"/>
              </w:rPr>
            </w:pPr>
            <w:r>
              <w:rPr>
                <w:rFonts w:ascii="Arial" w:cs="Arial" w:eastAsia="Arial" w:hAnsi="Arial"/>
                <w:sz w:val="16"/>
                <w:szCs w:val="16"/>
                <w:color w:val="auto"/>
                <w:w w:val="87"/>
              </w:rPr>
              <w:t>2,217,869</w:t>
            </w:r>
          </w:p>
        </w:tc>
        <w:tc>
          <w:tcPr>
            <w:tcW w:w="7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2,140,864</w:t>
            </w:r>
          </w:p>
        </w:tc>
      </w:tr>
      <w:tr>
        <w:trPr>
          <w:trHeight w:val="33"/>
        </w:trPr>
        <w:tc>
          <w:tcPr>
            <w:tcW w:w="8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-795655</wp:posOffset>
            </wp:positionH>
            <wp:positionV relativeFrom="paragraph">
              <wp:posOffset>-8255</wp:posOffset>
            </wp:positionV>
            <wp:extent cx="1311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-1036955</wp:posOffset>
            </wp:positionV>
            <wp:extent cx="1311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60" w:type="dxa"/>
            <w:vAlign w:val="bottom"/>
          </w:tcPr>
          <w:p>
            <w:pPr>
              <w:jc w:val="right"/>
              <w:ind w:right="679"/>
              <w:spacing w:after="0"/>
              <w:rPr>
                <w:sz w:val="20"/>
                <w:szCs w:val="20"/>
                <w:color w:val="auto"/>
              </w:rPr>
            </w:pPr>
            <w:r>
              <w:rPr>
                <w:rFonts w:ascii="Arial" w:cs="Arial" w:eastAsia="Arial" w:hAnsi="Arial"/>
                <w:sz w:val="16"/>
                <w:szCs w:val="16"/>
                <w:color w:val="auto"/>
              </w:rPr>
              <w:t>14,470</w:t>
            </w:r>
          </w:p>
        </w:tc>
        <w:tc>
          <w:tcPr>
            <w:tcW w:w="1440" w:type="dxa"/>
            <w:vAlign w:val="bottom"/>
          </w:tcPr>
          <w:p>
            <w:pPr>
              <w:jc w:val="right"/>
              <w:spacing w:after="0"/>
              <w:rPr>
                <w:sz w:val="20"/>
                <w:szCs w:val="20"/>
                <w:color w:val="auto"/>
              </w:rPr>
            </w:pPr>
            <w:r>
              <w:rPr>
                <w:rFonts w:ascii="Arial" w:cs="Arial" w:eastAsia="Arial" w:hAnsi="Arial"/>
                <w:sz w:val="16"/>
                <w:szCs w:val="16"/>
                <w:color w:val="auto"/>
              </w:rPr>
              <w:t>14,470</w:t>
            </w:r>
          </w:p>
        </w:tc>
      </w:tr>
      <w:tr>
        <w:trPr>
          <w:trHeight w:val="270"/>
        </w:trPr>
        <w:tc>
          <w:tcPr>
            <w:tcW w:w="1460" w:type="dxa"/>
            <w:vAlign w:val="bottom"/>
          </w:tcPr>
          <w:p>
            <w:pPr>
              <w:jc w:val="right"/>
              <w:ind w:right="679"/>
              <w:spacing w:after="0"/>
              <w:rPr>
                <w:sz w:val="20"/>
                <w:szCs w:val="20"/>
                <w:color w:val="auto"/>
              </w:rPr>
            </w:pPr>
            <w:r>
              <w:rPr>
                <w:rFonts w:ascii="Arial" w:cs="Arial" w:eastAsia="Arial" w:hAnsi="Arial"/>
                <w:sz w:val="16"/>
                <w:szCs w:val="16"/>
                <w:color w:val="auto"/>
              </w:rPr>
              <w:t>167,432</w:t>
            </w:r>
          </w:p>
        </w:tc>
        <w:tc>
          <w:tcPr>
            <w:tcW w:w="1440" w:type="dxa"/>
            <w:vAlign w:val="bottom"/>
          </w:tcPr>
          <w:p>
            <w:pPr>
              <w:jc w:val="right"/>
              <w:spacing w:after="0"/>
              <w:rPr>
                <w:sz w:val="20"/>
                <w:szCs w:val="20"/>
                <w:color w:val="auto"/>
              </w:rPr>
            </w:pPr>
            <w:r>
              <w:rPr>
                <w:rFonts w:ascii="Arial" w:cs="Arial" w:eastAsia="Arial" w:hAnsi="Arial"/>
                <w:sz w:val="16"/>
                <w:szCs w:val="16"/>
                <w:color w:val="auto"/>
              </w:rPr>
              <w:t>162,827</w:t>
            </w:r>
          </w:p>
        </w:tc>
      </w:tr>
      <w:tr>
        <w:trPr>
          <w:trHeight w:val="270"/>
        </w:trPr>
        <w:tc>
          <w:tcPr>
            <w:tcW w:w="1460" w:type="dxa"/>
            <w:vAlign w:val="bottom"/>
          </w:tcPr>
          <w:p>
            <w:pPr>
              <w:jc w:val="right"/>
              <w:ind w:right="679"/>
              <w:spacing w:after="0"/>
              <w:rPr>
                <w:sz w:val="20"/>
                <w:szCs w:val="20"/>
                <w:color w:val="auto"/>
              </w:rPr>
            </w:pPr>
            <w:r>
              <w:rPr>
                <w:rFonts w:ascii="Arial" w:cs="Arial" w:eastAsia="Arial" w:hAnsi="Arial"/>
                <w:sz w:val="16"/>
                <w:szCs w:val="16"/>
                <w:color w:val="auto"/>
                <w:w w:val="95"/>
              </w:rPr>
              <w:t>3,992,452</w:t>
            </w:r>
          </w:p>
        </w:tc>
        <w:tc>
          <w:tcPr>
            <w:tcW w:w="1440" w:type="dxa"/>
            <w:vAlign w:val="bottom"/>
          </w:tcPr>
          <w:p>
            <w:pPr>
              <w:jc w:val="right"/>
              <w:spacing w:after="0"/>
              <w:rPr>
                <w:sz w:val="20"/>
                <w:szCs w:val="20"/>
                <w:color w:val="auto"/>
              </w:rPr>
            </w:pPr>
            <w:r>
              <w:rPr>
                <w:rFonts w:ascii="Arial" w:cs="Arial" w:eastAsia="Arial" w:hAnsi="Arial"/>
                <w:sz w:val="16"/>
                <w:szCs w:val="16"/>
                <w:color w:val="auto"/>
              </w:rPr>
              <w:t>3,870,621</w:t>
            </w:r>
          </w:p>
        </w:tc>
      </w:tr>
      <w:tr>
        <w:trPr>
          <w:trHeight w:val="270"/>
        </w:trPr>
        <w:tc>
          <w:tcPr>
            <w:tcW w:w="1460" w:type="dxa"/>
            <w:vAlign w:val="bottom"/>
          </w:tcPr>
          <w:p>
            <w:pPr>
              <w:jc w:val="right"/>
              <w:ind w:right="619"/>
              <w:spacing w:after="0"/>
              <w:rPr>
                <w:sz w:val="20"/>
                <w:szCs w:val="20"/>
                <w:color w:val="auto"/>
              </w:rPr>
            </w:pPr>
            <w:r>
              <w:rPr>
                <w:rFonts w:ascii="Arial" w:cs="Arial" w:eastAsia="Arial" w:hAnsi="Arial"/>
                <w:sz w:val="16"/>
                <w:szCs w:val="16"/>
                <w:color w:val="auto"/>
              </w:rPr>
              <w:t>(692,498)</w:t>
            </w:r>
          </w:p>
        </w:tc>
        <w:tc>
          <w:tcPr>
            <w:tcW w:w="1440" w:type="dxa"/>
            <w:vAlign w:val="bottom"/>
          </w:tcPr>
          <w:p>
            <w:pPr>
              <w:jc w:val="right"/>
              <w:spacing w:after="0"/>
              <w:rPr>
                <w:sz w:val="20"/>
                <w:szCs w:val="20"/>
                <w:color w:val="auto"/>
              </w:rPr>
            </w:pPr>
            <w:r>
              <w:rPr>
                <w:rFonts w:ascii="Arial" w:cs="Arial" w:eastAsia="Arial" w:hAnsi="Arial"/>
                <w:sz w:val="16"/>
                <w:szCs w:val="16"/>
                <w:color w:val="auto"/>
              </w:rPr>
              <w:t>(637,482)</w:t>
            </w:r>
          </w:p>
        </w:tc>
      </w:tr>
      <w:tr>
        <w:trPr>
          <w:trHeight w:val="459"/>
        </w:trPr>
        <w:tc>
          <w:tcPr>
            <w:tcW w:w="1460" w:type="dxa"/>
            <w:vAlign w:val="bottom"/>
          </w:tcPr>
          <w:p>
            <w:pPr>
              <w:jc w:val="right"/>
              <w:ind w:right="619"/>
              <w:spacing w:after="0"/>
              <w:rPr>
                <w:sz w:val="20"/>
                <w:szCs w:val="20"/>
                <w:color w:val="auto"/>
              </w:rPr>
            </w:pPr>
            <w:r>
              <w:rPr>
                <w:rFonts w:ascii="Arial" w:cs="Arial" w:eastAsia="Arial" w:hAnsi="Arial"/>
                <w:sz w:val="16"/>
                <w:szCs w:val="16"/>
                <w:color w:val="auto"/>
                <w:w w:val="90"/>
              </w:rPr>
              <w:t>(1,732,001)</w:t>
            </w:r>
          </w:p>
        </w:tc>
        <w:tc>
          <w:tcPr>
            <w:tcW w:w="1440" w:type="dxa"/>
            <w:vAlign w:val="bottom"/>
          </w:tcPr>
          <w:p>
            <w:pPr>
              <w:jc w:val="right"/>
              <w:spacing w:after="0"/>
              <w:rPr>
                <w:sz w:val="20"/>
                <w:szCs w:val="20"/>
                <w:color w:val="auto"/>
              </w:rPr>
            </w:pPr>
            <w:r>
              <w:rPr>
                <w:rFonts w:ascii="Arial" w:cs="Arial" w:eastAsia="Arial" w:hAnsi="Arial"/>
                <w:sz w:val="16"/>
                <w:szCs w:val="16"/>
                <w:color w:val="auto"/>
              </w:rPr>
              <w:t>(1,726,234)</w:t>
            </w:r>
          </w:p>
        </w:tc>
      </w:tr>
    </w:tbl>
    <w:p>
      <w:pPr>
        <w:spacing w:after="0" w:line="33" w:lineRule="exact"/>
        <w:rPr>
          <w:sz w:val="20"/>
          <w:szCs w:val="20"/>
          <w:color w:val="auto"/>
        </w:rPr>
      </w:pPr>
    </w:p>
    <w:p>
      <w:pPr>
        <w:sectPr>
          <w:pgSz w:w="11900" w:h="16838" w:orient="portrait"/>
          <w:cols w:equalWidth="0" w:num="2">
            <w:col w:w="7740" w:space="720"/>
            <w:col w:w="296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72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Shareholders’ Equity</w:t>
            </w: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1,749,855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1,684,202</w:t>
            </w:r>
          </w:p>
        </w:tc>
      </w:tr>
      <w:tr>
        <w:trPr>
          <w:trHeight w:val="217"/>
        </w:trPr>
        <w:tc>
          <w:tcPr>
            <w:tcW w:w="720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7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6,348</w:t>
            </w: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5,092</w:t>
            </w:r>
          </w:p>
        </w:tc>
      </w:tr>
      <w:tr>
        <w:trPr>
          <w:trHeight w:val="33"/>
        </w:trPr>
        <w:tc>
          <w:tcPr>
            <w:tcW w:w="7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Shareholders’ Equity including noncontrolling interest</w:t>
            </w: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1,756,203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1,689,294</w:t>
            </w: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7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4,673,442</w:t>
            </w:r>
          </w:p>
        </w:tc>
        <w:tc>
          <w:tcPr>
            <w:tcW w:w="100" w:type="dxa"/>
            <w:vAlign w:val="bottom"/>
          </w:tcPr>
          <w:p>
            <w:pPr>
              <w:spacing w:after="0"/>
              <w:rPr>
                <w:sz w:val="18"/>
                <w:szCs w:val="18"/>
                <w:color w:val="auto"/>
              </w:rPr>
            </w:pPr>
          </w:p>
        </w:tc>
        <w:tc>
          <w:tcPr>
            <w:tcW w:w="70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4,598,926</w:t>
            </w:r>
          </w:p>
        </w:tc>
      </w:tr>
      <w:tr>
        <w:trPr>
          <w:trHeight w:val="33"/>
        </w:trPr>
        <w:tc>
          <w:tcPr>
            <w:tcW w:w="7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type w:val="continuous"/>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2" w:name="page3"/>
    <w:bookmarkEnd w:id="2"/>
    <w:p>
      <w:pPr>
        <w:jc w:val="center"/>
        <w:spacing w:after="0" w:line="275" w:lineRule="auto"/>
        <w:rPr>
          <w:sz w:val="20"/>
          <w:szCs w:val="20"/>
          <w:color w:val="auto"/>
        </w:rPr>
      </w:pPr>
      <w:r>
        <w:rPr>
          <w:rFonts w:ascii="Arial" w:cs="Arial" w:eastAsia="Arial" w:hAnsi="Arial"/>
          <w:sz w:val="18"/>
          <w:szCs w:val="18"/>
          <w:b w:val="1"/>
          <w:bCs w:val="1"/>
          <w:color w:val="auto"/>
        </w:rPr>
        <w:t>INTERNATIONAL FLAVORS &amp; FRAGRANCES INC. CONSOLIDATED STATEMENT OF INCOME AND COMPREHENSIVE INCOME (Unaudited)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8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800" w:type="dxa"/>
            <w:vAlign w:val="bottom"/>
            <w:gridSpan w:val="3"/>
          </w:tcPr>
          <w:p>
            <w:pPr>
              <w:ind w:left="40"/>
              <w:spacing w:after="0"/>
              <w:rPr>
                <w:sz w:val="20"/>
                <w:szCs w:val="20"/>
                <w:color w:val="auto"/>
              </w:rPr>
            </w:pPr>
            <w:r>
              <w:rPr>
                <w:rFonts w:ascii="Arial" w:cs="Arial" w:eastAsia="Arial" w:hAnsi="Arial"/>
                <w:sz w:val="14"/>
                <w:szCs w:val="14"/>
                <w:i w:val="1"/>
                <w:iCs w:val="1"/>
                <w:color w:val="auto"/>
              </w:rPr>
              <w:t>(AMOUNTS IN THOUSANDS EXCEPT PER SHARE AMOUNTS)</w:t>
            </w:r>
          </w:p>
        </w:tc>
        <w:tc>
          <w:tcPr>
            <w:tcW w:w="320" w:type="dxa"/>
            <w:vAlign w:val="bottom"/>
          </w:tcPr>
          <w:p>
            <w:pPr>
              <w:spacing w:after="0"/>
              <w:rPr>
                <w:sz w:val="19"/>
                <w:szCs w:val="19"/>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84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920,016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842,861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1,850,944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1,671,154</w:t>
            </w: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521,299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469,877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1,046,419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935,088</w:t>
            </w:r>
          </w:p>
        </w:tc>
      </w:tr>
      <w:tr>
        <w:trPr>
          <w:trHeight w:val="27"/>
        </w:trPr>
        <w:tc>
          <w:tcPr>
            <w:tcW w:w="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398,717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372,984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804,525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736,066</w:t>
            </w: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74,767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72,761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153,244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144,887</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157,407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283,023</w:t>
            </w: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9,584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18,769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15,561</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10,934</w:t>
            </w: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Losses (gains) on sales of fixed assets</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154,509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281,750</w:t>
            </w: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53,246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17,556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69,841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30,363</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(29,140)</w:t>
            </w: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Income before taxes</w:t>
            </w: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121,918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142,040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280,754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280,527</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54,968</w:t>
            </w: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99,149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109,795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228,564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225,559</w:t>
            </w:r>
          </w:p>
        </w:tc>
      </w:tr>
      <w:tr>
        <w:trPr>
          <w:trHeight w:val="27"/>
        </w:trPr>
        <w:tc>
          <w:tcPr>
            <w:tcW w:w="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after tax:</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760" w:type="dxa"/>
            <w:vAlign w:val="bottom"/>
            <w:gridSpan w:val="2"/>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(85,264)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10,090</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Gains (losses) on derivatives qualifying as hedges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(13,519)</w:t>
            </w:r>
          </w:p>
        </w:tc>
      </w:tr>
      <w:tr>
        <w:trPr>
          <w:trHeight w:val="243"/>
        </w:trPr>
        <w:tc>
          <w:tcPr>
            <w:tcW w:w="40" w:type="dxa"/>
            <w:vAlign w:val="bottom"/>
          </w:tcPr>
          <w:p>
            <w:pPr>
              <w:spacing w:after="0"/>
              <w:rPr>
                <w:sz w:val="21"/>
                <w:szCs w:val="21"/>
                <w:color w:val="auto"/>
              </w:rPr>
            </w:pPr>
          </w:p>
        </w:tc>
        <w:tc>
          <w:tcPr>
            <w:tcW w:w="4760" w:type="dxa"/>
            <w:vAlign w:val="bottom"/>
            <w:gridSpan w:val="2"/>
          </w:tcPr>
          <w:p>
            <w:pPr>
              <w:ind w:left="340"/>
              <w:spacing w:after="0"/>
              <w:rPr>
                <w:sz w:val="20"/>
                <w:szCs w:val="20"/>
                <w:color w:val="auto"/>
              </w:rPr>
            </w:pPr>
            <w:r>
              <w:rPr>
                <w:rFonts w:ascii="Arial" w:cs="Arial" w:eastAsia="Arial" w:hAnsi="Arial"/>
                <w:sz w:val="18"/>
                <w:szCs w:val="18"/>
                <w:color w:val="auto"/>
              </w:rPr>
              <w:t>Pension and postretirement net liability</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7,323</w:t>
            </w:r>
          </w:p>
        </w:tc>
      </w:tr>
      <w:tr>
        <w:trPr>
          <w:trHeight w:val="27"/>
        </w:trPr>
        <w:tc>
          <w:tcPr>
            <w:tcW w:w="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3,894</w:t>
            </w: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27,230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115,062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173,548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229,453</w:t>
            </w:r>
          </w:p>
        </w:tc>
      </w:tr>
      <w:tr>
        <w:trPr>
          <w:trHeight w:val="67"/>
        </w:trPr>
        <w:tc>
          <w:tcPr>
            <w:tcW w:w="40" w:type="dxa"/>
            <w:vAlign w:val="bottom"/>
            <w:tcBorders>
              <w:bottom w:val="single" w:sz="8" w:color="CCEEFF"/>
            </w:tcBorders>
          </w:tcPr>
          <w:p>
            <w:pPr>
              <w:spacing w:after="0"/>
              <w:rPr>
                <w:sz w:val="5"/>
                <w:szCs w:val="5"/>
                <w:color w:val="auto"/>
              </w:rPr>
            </w:pPr>
          </w:p>
        </w:tc>
        <w:tc>
          <w:tcPr>
            <w:tcW w:w="384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38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Net income per share - 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2.85</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3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79,065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79,072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79,041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79,088</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79,360</w:t>
            </w: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Dividends declared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w:t>
            </w: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780" w:type="dxa"/>
            <w:vAlign w:val="bottom"/>
            <w:gridSpan w:val="3"/>
          </w:tcPr>
          <w:p>
            <w:pPr>
              <w:ind w:left="40"/>
              <w:spacing w:after="0" w:line="196" w:lineRule="exact"/>
              <w:rPr>
                <w:sz w:val="20"/>
                <w:szCs w:val="20"/>
                <w:color w:val="auto"/>
              </w:rPr>
            </w:pPr>
            <w:r>
              <w:rPr>
                <w:rFonts w:ascii="Arial" w:cs="Arial" w:eastAsia="Arial" w:hAnsi="Arial"/>
                <w:sz w:val="18"/>
                <w:szCs w:val="18"/>
                <w:i w:val="1"/>
                <w:iCs w:val="1"/>
                <w:color w:val="auto"/>
              </w:rPr>
              <w:t>(DOLLARS IN THOUSANDS)</w:t>
            </w:r>
          </w:p>
        </w:tc>
        <w:tc>
          <w:tcPr>
            <w:tcW w:w="400" w:type="dxa"/>
            <w:vAlign w:val="bottom"/>
          </w:tcPr>
          <w:p>
            <w:pPr>
              <w:spacing w:after="0"/>
              <w:rPr>
                <w:sz w:val="17"/>
                <w:szCs w:val="17"/>
                <w:color w:val="auto"/>
              </w:rPr>
            </w:pPr>
          </w:p>
        </w:tc>
        <w:tc>
          <w:tcPr>
            <w:tcW w:w="13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ind w:right="650"/>
              <w:spacing w:after="0" w:line="196" w:lineRule="exact"/>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180" w:type="dxa"/>
            <w:vAlign w:val="bottom"/>
            <w:tcBorders>
              <w:top w:val="single" w:sz="8" w:color="auto"/>
              <w:bottom w:val="single" w:sz="8" w:color="CCEEFF"/>
            </w:tcBorders>
          </w:tcPr>
          <w:p>
            <w:pPr>
              <w:spacing w:after="0"/>
              <w:rPr>
                <w:sz w:val="4"/>
                <w:szCs w:val="4"/>
                <w:color w:val="auto"/>
              </w:rPr>
            </w:pPr>
          </w:p>
        </w:tc>
        <w:tc>
          <w:tcPr>
            <w:tcW w:w="55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228,564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225,559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64,968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55,805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Loss (gain) on disposal of assets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Pension contributions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Litigation settlement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Product recall claim settlement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gain on liquidation of entity</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Changes in assets and liabilities, net of acquisitions: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Trade receivables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6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(67,940)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680"/>
              <w:spacing w:after="0"/>
              <w:rPr>
                <w:sz w:val="20"/>
                <w:szCs w:val="20"/>
                <w:color w:val="auto"/>
              </w:rPr>
            </w:pPr>
            <w:r>
              <w:rPr>
                <w:rFonts w:ascii="Arial" w:cs="Arial" w:eastAsia="Arial" w:hAnsi="Arial"/>
                <w:sz w:val="18"/>
                <w:szCs w:val="18"/>
                <w:color w:val="auto"/>
              </w:rPr>
              <w:t>Accruals for incentive compensation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(25,158)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Other current payables and accrued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68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(65,620)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18,007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(35,286)</w:t>
            </w:r>
          </w:p>
        </w:tc>
        <w:tc>
          <w:tcPr>
            <w:tcW w:w="0" w:type="dxa"/>
            <w:vAlign w:val="bottom"/>
          </w:tcPr>
          <w:p>
            <w:pPr>
              <w:spacing w:after="0"/>
              <w:rPr>
                <w:sz w:val="1"/>
                <w:szCs w:val="1"/>
                <w:color w:val="auto"/>
              </w:rPr>
            </w:pP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55,169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57,921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Cash paid for acquisitions, net of cash received</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(191,304)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Proceeds from life insurance contracts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Maturity of net investment hedges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Proceeds from disposal of assets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(69,467)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(232,027)</w:t>
            </w:r>
          </w:p>
        </w:tc>
        <w:tc>
          <w:tcPr>
            <w:tcW w:w="0" w:type="dxa"/>
            <w:vAlign w:val="bottom"/>
          </w:tcPr>
          <w:p>
            <w:pPr>
              <w:spacing w:after="0"/>
              <w:rPr>
                <w:sz w:val="1"/>
                <w:szCs w:val="1"/>
                <w:color w:val="auto"/>
              </w:rPr>
            </w:pPr>
          </w:p>
        </w:tc>
      </w:tr>
      <w:tr>
        <w:trPr>
          <w:trHeight w:val="223"/>
        </w:trPr>
        <w:tc>
          <w:tcPr>
            <w:tcW w:w="7780" w:type="dxa"/>
            <w:vAlign w:val="bottom"/>
            <w:gridSpan w:val="3"/>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5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Cash dividends paid to shareholders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Increase in revolving credit facility borrowings and overdrafts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110,259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21,595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financing costs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498,250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 on pre-issuance hedges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stock under stock plans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Employee withholding taxes paid</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Purchase of treasury stock</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(15,475)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(53,211)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(24,537)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343,611</w:t>
            </w:r>
          </w:p>
        </w:tc>
        <w:tc>
          <w:tcPr>
            <w:tcW w:w="0" w:type="dxa"/>
            <w:vAlign w:val="bottom"/>
          </w:tcPr>
          <w:p>
            <w:pPr>
              <w:spacing w:after="0"/>
              <w:rPr>
                <w:sz w:val="1"/>
                <w:szCs w:val="1"/>
                <w:color w:val="auto"/>
              </w:rPr>
            </w:pP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167,394</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368,046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323,992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322,423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491,386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80" w:type="dxa"/>
            <w:vAlign w:val="bottom"/>
          </w:tcPr>
          <w:p>
            <w:pPr>
              <w:spacing w:after="0"/>
              <w:rPr>
                <w:sz w:val="4"/>
                <w:szCs w:val="4"/>
                <w:color w:val="auto"/>
              </w:rPr>
            </w:pPr>
          </w:p>
        </w:tc>
        <w:tc>
          <w:tcPr>
            <w:tcW w:w="5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paid, net of amounts capitalized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32,039</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Income taxes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57,809</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50,962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Accrued capital expenditures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19,160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13,589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tab/>
        <w:t>NATURE OF OPERATIONS AND SUMMARY OF SIGNIFICANT ACCOUNTING POLICIES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These interim statements and related management’s discussion and analysis should be read in conjunction with the Consolidated Financial Statements and the related notes and management’s discussion and analysis of results of operations, liquidity and capital resources included in our 2017 Annual Report on Form 10-K (“2017 Form 10-K”). These interim statements are unaudited. The year-end balance sheet data included in this Form 10-Q was derived from audited financial statements, but does not include all disclosures required by generally accepted accounting principles in the United States of America. We have historically operated and continue to operate on a 52/53 week fiscal year ending on the Friday closest to the last day of the quarter. For ease of presentation, June 30 and December 31 are used consistently throughout this Form 10-Q and these interim financial statements and related notes to represent the period-end dates. For the 2018 and 2017 quarters, the actual closing dates were June 29 and June 30, respectively. The unaudited interim financial statements include all adjustments (consisting only of normal recurring adjustments) and accruals necessary in the judgment of management for a fair statement of the results for the periods presented. When used herein, the terms “IFF,” the “Company,” “we,” “us” and “our” mean International Flavors &amp; Fragrances Inc. and its consolidated subsidiaries.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judgments that affect the amounts reported in the consolidated financial statements and accompanying notes.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 and Revisions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 year amounts have been reclassified and revised to conform to current year presentation.</w:t>
      </w:r>
    </w:p>
    <w:p>
      <w:pPr>
        <w:spacing w:after="0" w:line="171" w:lineRule="exact"/>
        <w:rPr>
          <w:sz w:val="20"/>
          <w:szCs w:val="20"/>
          <w:color w:val="auto"/>
        </w:rPr>
      </w:pPr>
    </w:p>
    <w:p>
      <w:pPr>
        <w:ind w:right="460" w:firstLine="432"/>
        <w:spacing w:after="0" w:line="342" w:lineRule="auto"/>
        <w:rPr>
          <w:sz w:val="20"/>
          <w:szCs w:val="20"/>
          <w:color w:val="auto"/>
        </w:rPr>
      </w:pPr>
      <w:r>
        <w:rPr>
          <w:rFonts w:ascii="Arial" w:cs="Arial" w:eastAsia="Arial" w:hAnsi="Arial"/>
          <w:sz w:val="16"/>
          <w:szCs w:val="16"/>
          <w:color w:val="auto"/>
        </w:rPr>
        <w:t>As discussed below and in conformity with the Financial Accounting Standards Board's ("FASB") amendments to the Compensation - Retirement Benefits guidance, the Company has reclassified certain components of net periodic benefit expense (income) to Other income (expense), net.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U.S. Tax Reform</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that significantly revised the U.S. tax code effective January 1, 2018 by, among other things, lowering the corporate income tax rate from a top marginal rate of 35% to a flat 21%, limiting deductibility of interest expense and performance based incentive compensation, transitioning to a territorial system and creating new taxes associated with global operations.</w:t>
      </w:r>
    </w:p>
    <w:p>
      <w:pPr>
        <w:spacing w:after="0" w:line="133"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In the fourth quarter of 2017, the Company recorded approximately $139.2 million in charges related to the impact of the Tax Act. Given the significant complexity of the Tax Act, anticipated guidance from the U.S. Treasury about implementing the Tax Act and the potential for additional guidance from the SEC or the FASB, the amount recorded by the Company in the fourth quarter of 2017 was provisional and will continue to be adjusted during 2018. The impact of the Tax Act is expected to be finalized no later than the fourth quarter of 2018. The aforementioned guidance and additional information regarding the Tax Act may also impact the Company's 2018 effective income tax rate, exclusive of any adjustment to the provisional charge. Any material revisions in our computations could adversely affect our cash flows and results of operations.</w:t>
      </w:r>
    </w:p>
    <w:p>
      <w:pPr>
        <w:spacing w:after="0" w:line="124"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During the six months ended June 30, 2018, the Company recorded an additional charge of $0.6 million to adjust an accrual related to withholding taxes on planned repatriations.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Company sells certain accounts receivable on a non-recourse basis to unrelated financial institutions under “factoring” agreements that are sponsored, solely and individually, by certain customers. The Company accounts for these transactions as sales of receivables, removes the receivables sold from its financial statements, and records cash proceeds when received by the Company. The beneficial impact on cash provided by operations from participating in these programs decreased approximately $25.5 million for the six months ended June 30, 2018 compared to a decrease of approximately $4.7 million for the six months ended June 30, 2017. The cost of participating in these programs was immaterial to our results in all periods.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June 2018, the FASB issued Accounting Standards Update ("ASU") 2018-07, "Compensation—Stock Compensation (Topic 718)" intended to reduce cost and complexity and to improve financial reporting for nonemployee share-based payments. This guidance expands the scope of Topic 718, Compensation-Stock Compensation which currently only includes share-based payments to employees to include share-based payments issued to nonemployees for goods or services. This guidance is effective for public companies for fiscal years beginning after December 15, 2018, including interim periods within that fiscal year. The Company is currently evaluating the impact this guidance will have on its Consolidated Financial Statements, but does not expect this guidance to have a material impact on its Consolidated Financial Statements.</w:t>
      </w:r>
    </w:p>
    <w:p>
      <w:pPr>
        <w:spacing w:after="0" w:line="13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February 2018, FASB issued ASU 2018-02, "Income Statement—Reporting Comprehensive Income (Topic 220): Reclassification of Certain Tax Effects from Accumulated Other Comprehensive Income" which allows for a reclassification from accumulated other comprehensive income to retained earnings for stranded tax effects resulting from the Tax Act, in addition to requiring certain disclosures about stranded tax effects. This guidance is effective for periods beginning after December 15, 2018, with an election to adopt early. The Company is currently evaluating the impact this guidance may have on its Consolidated Financial Statements.</w:t>
      </w:r>
    </w:p>
    <w:p>
      <w:pPr>
        <w:spacing w:after="0" w:line="134"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In August 2017, FASB issued ASU 2017-12, "Derivatives and Hedging (Topic 815): Targeted Improvements to Accounting for Hedging Activities" which eliminates the requirement to separately measure and present hedge ineffectiveness and aligns the presentation of hedge gains and losses with the underlying hedge item. This guidance is effective for fiscal years beginning after December 15, 2018. Early adoption is permitted. The amended presentation and disclosure requirements are to be applied prospectively while the amendments to cash flow and net investment hedge relationships are to be applied on a modified retrospective basis</w:t>
      </w:r>
      <w:r>
        <w:rPr>
          <w:rFonts w:ascii="Arial" w:cs="Arial" w:eastAsia="Arial" w:hAnsi="Arial"/>
          <w:sz w:val="15"/>
          <w:szCs w:val="15"/>
          <w:color w:val="auto"/>
        </w:rPr>
        <w:t>.</w:t>
      </w:r>
      <w:r>
        <w:rPr>
          <w:rFonts w:ascii="Arial" w:cs="Arial" w:eastAsia="Arial" w:hAnsi="Arial"/>
          <w:sz w:val="17"/>
          <w:szCs w:val="17"/>
          <w:color w:val="auto"/>
        </w:rPr>
        <w:t xml:space="preserve"> The Company is currently evaluating the impact this guidance will have on its Consolidated Financial Statements, but does not expect this guidance to have a material impact on its Consolidated Financial Statements.</w:t>
      </w:r>
    </w:p>
    <w:p>
      <w:pPr>
        <w:spacing w:after="0" w:line="124"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In May 2017, the FASB issued 2017-09, "Compensation—Stock Compensation (Topic 718): Scope of Modification Accounting" which clarifies changes to the terms or conditions of a share-based payment award that require an entity to apply modification accounting. This guidance is effective for the current year. The Company has determined that this guidance does not have an impact on its Consolidated Financial Statements as it is not the Company's practice to modify the terms or conditions of a share-based payment award after it has been granted.</w:t>
      </w:r>
    </w:p>
    <w:p>
      <w:pPr>
        <w:spacing w:after="0" w:line="117"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In March 2017, the FASB issued 2017-07, "Compensation—Retirement Benefits (Topic 715): Improving the Presentation of Net Periodic Pension Cost and Net Periodic Postretirement Benefit Cost" which requires employers who present a measure of operating income in their statement of income to include only the service cost component of net periodic pension cost and postretirement costs in operating expenses. This guidance is effective, and as required, has been applied on a full retrospective basis. The impact of the adoption of this standard on January 1, 2018 was a decrease in operating profit by approximately $7.4 million in the three months ended June 30, 2017 and by approximately $14.9 million in the six months ended June 30, 2017, and a corresponding increase in Other (income) expense, net as presented in the Company's Consolidated Statement of Income and Comprehensive Income. There was no impact to Net income or Net Income per share in either period. See Note 10 of the Consolidated Financial Statements for further details.</w:t>
      </w:r>
    </w:p>
    <w:p>
      <w:pPr>
        <w:spacing w:after="0" w:line="11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new guidance also limits the amount of net periodic benefit cost eligible for capitalization to assets. The new guidance permits only the service cost component of net periodic benefit cost to be eligible for capitalization. The Company applied the practical expedient that permits the use of amounts previously disclosed as the basis for retrospective application and, as provided under the practical expedient, has not presented the income statement impact based on the capitalization of the applicable costs.</w:t>
      </w:r>
    </w:p>
    <w:p>
      <w:pPr>
        <w:spacing w:after="0" w:line="133"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In August 2016, the FASB issued 2016-15, "Statement of Cash Flows (Topic 230): Classification of Certain Cash Receipts and Cash Payments" which requires changes to the classification of certain activities within the statement of cash flows. This guidance is effective for the current year, and the Company has determined that this adoption does not have an impact on its Consolidated Statement of Cash Flows.</w:t>
      </w:r>
    </w:p>
    <w:p>
      <w:pPr>
        <w:spacing w:after="0" w:line="12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In June 2016, the FASB issued 2016-13, "Financial Instruments—Credit Losses (Topic 326): Measurement of Credit Losses on Financial Instruments" which requires issuers to measure expected credit losses for financial assets based on historical experience, current conditions and reasonable and supportable forecasts. As such, an entity will use forward-looking information to estimate credit losses. The guidance is effective for financial statements issued for fiscal years beginning after December 15, 2019, including interim periods within those fiscal years. Early adoption is permitted for the fiscal years beginning after December 15, 2018, including interim periods within those fiscal years. The Company is currently evaluating the impact this guidance may have on its consolidated financial statements, but does not expect this guidance to have a material impact on its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46" w:right="259" w:bottom="1440" w:gutter="0" w:footer="0" w:header="0"/>
        </w:sectPr>
      </w:pPr>
    </w:p>
    <w:bookmarkStart w:id="6" w:name="page7"/>
    <w:bookmarkEnd w:id="6"/>
    <w:p>
      <w:pPr>
        <w:ind w:right="40" w:firstLine="405"/>
        <w:spacing w:after="0" w:line="290" w:lineRule="auto"/>
        <w:rPr>
          <w:sz w:val="20"/>
          <w:szCs w:val="20"/>
          <w:color w:val="auto"/>
        </w:rPr>
      </w:pPr>
      <w:r>
        <w:rPr>
          <w:rFonts w:ascii="Arial" w:cs="Arial" w:eastAsia="Arial" w:hAnsi="Arial"/>
          <w:sz w:val="16"/>
          <w:szCs w:val="16"/>
          <w:color w:val="auto"/>
        </w:rPr>
        <w:t>In February 2016, the FASB issued 2016-02, "Leases (Topic 842)", with subsequent amendments, which requires changes to the accounting for leases. The new guidance establishes a new lease accounting model that requires entities to record assets and liabilities related to leases on the balance sheet for certain types of leases. The guidance will be effective for annual and interim periods beginning after December 15, 2018. The Company expects to adopt this guidance effective December 29, 2018, the first day of the Company’s 2019 fiscal year, and that the adoption of this guidance will result in significant increases to assets and liabilities on its Consolidated Balance Sheet. The Company is still evaluating the impact of this guidance on its Consolidated Statement of Income and Comprehensive Income and Consolidated Statement of Cash Flows. The Company has begun to evaluate the nature of its leases and has compiled a preliminary analysis of the type and location of its leases. The Company expects that the significant portion of its lease liabilities and right of use assets will relate to property, with additional lease and corresponding right of use assets in existence that relate to vehicles and machinery.</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Adoption of ASC Topic 606, Revenue from Contracts with Customers</w:t>
      </w:r>
    </w:p>
    <w:p>
      <w:pPr>
        <w:spacing w:after="0" w:line="171" w:lineRule="exact"/>
        <w:rPr>
          <w:sz w:val="20"/>
          <w:szCs w:val="20"/>
          <w:color w:val="auto"/>
        </w:rPr>
      </w:pPr>
    </w:p>
    <w:p>
      <w:pPr>
        <w:ind w:right="80" w:firstLine="392"/>
        <w:spacing w:after="0" w:line="271" w:lineRule="auto"/>
        <w:rPr>
          <w:sz w:val="20"/>
          <w:szCs w:val="20"/>
          <w:color w:val="auto"/>
        </w:rPr>
      </w:pPr>
      <w:r>
        <w:rPr>
          <w:rFonts w:ascii="Arial" w:cs="Arial" w:eastAsia="Arial" w:hAnsi="Arial"/>
          <w:sz w:val="17"/>
          <w:szCs w:val="17"/>
          <w:color w:val="auto"/>
        </w:rPr>
        <w:t>In May 2014, the FASB issued 2014-09, "Revenue from Contracts with Customers", with subsequent amendments, that provides for a comprehensive model to be used in accounting for revenue arising from contracts with customers (ASC Topic 606, Revenue from Contracts with Customers) (the “Revenue Standard”). Under the Revenue Standard, revenue is recognized to reflect the transfer of goods or services to customers in an amount that reflects the consideration to which the Company expects to be entitled in exchange for those goods or services. Companies have the option to apply the new guidance under a retrospective approach to each prior reporting period presented or a modified retrospective approach with the cumulative effect of initially applying the new guidance recognized at the date of initial application within the Consolidated Balance Sheet. The new Revenue Standard became effective for annual reporting periods beginning after December 15, 2017, and the Company has adopted the new revenue standard using the modified retrospective approach on December 30, 2017, the first day of the Company’s 2018 fiscal year.</w:t>
      </w:r>
    </w:p>
    <w:p>
      <w:pPr>
        <w:spacing w:after="0" w:line="125" w:lineRule="exact"/>
        <w:rPr>
          <w:sz w:val="20"/>
          <w:szCs w:val="20"/>
          <w:color w:val="auto"/>
        </w:rPr>
      </w:pPr>
    </w:p>
    <w:p>
      <w:pPr>
        <w:ind w:right="140" w:firstLine="392"/>
        <w:spacing w:after="0" w:line="259" w:lineRule="auto"/>
        <w:rPr>
          <w:sz w:val="20"/>
          <w:szCs w:val="20"/>
          <w:color w:val="auto"/>
        </w:rPr>
      </w:pPr>
      <w:r>
        <w:rPr>
          <w:rFonts w:ascii="Arial" w:cs="Arial" w:eastAsia="Arial" w:hAnsi="Arial"/>
          <w:sz w:val="18"/>
          <w:szCs w:val="18"/>
          <w:color w:val="auto"/>
        </w:rPr>
        <w:t>The Company creates and manufactures flavors and fragrances. Approximately 90% of its products, principally Flavors compounds and Fragrances compounds, are customized to customer specifications and have no alternative use other than the sale to the specific customer (“Compounds products”). The remaining revenue is derived largely from Fragrance Ingredients products that, generally, are commodity products with alternative uses and not customized (“Ingredients products”).</w:t>
      </w:r>
    </w:p>
    <w:p>
      <w:pPr>
        <w:spacing w:after="0" w:line="133" w:lineRule="exact"/>
        <w:rPr>
          <w:sz w:val="20"/>
          <w:szCs w:val="20"/>
          <w:color w:val="auto"/>
        </w:rPr>
      </w:pPr>
    </w:p>
    <w:p>
      <w:pPr>
        <w:ind w:right="40" w:firstLine="392"/>
        <w:spacing w:after="0" w:line="273" w:lineRule="auto"/>
        <w:rPr>
          <w:sz w:val="20"/>
          <w:szCs w:val="20"/>
          <w:color w:val="auto"/>
        </w:rPr>
      </w:pPr>
      <w:r>
        <w:rPr>
          <w:rFonts w:ascii="Arial" w:cs="Arial" w:eastAsia="Arial" w:hAnsi="Arial"/>
          <w:sz w:val="17"/>
          <w:szCs w:val="17"/>
          <w:color w:val="auto"/>
        </w:rPr>
        <w:t>With respect to the vast majority of the Company’s contracts for Compounds products, the Company currently recognizes revenue on the transfer of control of the product at a point in time as the Company does not have an “enforceable right to payment for performance to date” (as set out in the Revenue Standard). With respect to a small number of contracts for the sale of Compounds, the Company has an “enforceable right to payment for performance to date” and as the products do not have an alternative use, the Company recognizes revenue for these contracts over time and records a contract asset using the output method. The output method recognizes revenue on the basis of direct measurements of the value to the customer of the goods or services transferred to date relative to the remaining goods or services promised under the contract.</w:t>
      </w:r>
    </w:p>
    <w:p>
      <w:pPr>
        <w:spacing w:after="0" w:line="124" w:lineRule="exact"/>
        <w:rPr>
          <w:sz w:val="20"/>
          <w:szCs w:val="20"/>
          <w:color w:val="auto"/>
        </w:rPr>
      </w:pPr>
    </w:p>
    <w:p>
      <w:pPr>
        <w:ind w:right="140" w:firstLine="392"/>
        <w:spacing w:after="0" w:line="264" w:lineRule="auto"/>
        <w:rPr>
          <w:sz w:val="20"/>
          <w:szCs w:val="20"/>
          <w:color w:val="auto"/>
        </w:rPr>
      </w:pPr>
      <w:r>
        <w:rPr>
          <w:rFonts w:ascii="Arial" w:cs="Arial" w:eastAsia="Arial" w:hAnsi="Arial"/>
          <w:sz w:val="18"/>
          <w:szCs w:val="18"/>
          <w:color w:val="auto"/>
        </w:rPr>
        <w:t>With respect to the Company’s contracts related to Ingredients products, the Company currently recognizes revenue on the transfer of control of the product at a point in time as such products generally have alternative uses and the Company does not have an “enforceable right to payment for performance to date.”</w:t>
      </w:r>
    </w:p>
    <w:p>
      <w:pPr>
        <w:spacing w:after="0" w:line="127" w:lineRule="exact"/>
        <w:rPr>
          <w:sz w:val="20"/>
          <w:szCs w:val="20"/>
          <w:color w:val="auto"/>
        </w:rPr>
      </w:pPr>
    </w:p>
    <w:p>
      <w:pPr>
        <w:ind w:firstLine="392"/>
        <w:spacing w:after="0" w:line="286" w:lineRule="auto"/>
        <w:rPr>
          <w:sz w:val="20"/>
          <w:szCs w:val="20"/>
          <w:color w:val="auto"/>
        </w:rPr>
      </w:pPr>
      <w:r>
        <w:rPr>
          <w:rFonts w:ascii="Arial" w:cs="Arial" w:eastAsia="Arial" w:hAnsi="Arial"/>
          <w:sz w:val="17"/>
          <w:szCs w:val="17"/>
          <w:color w:val="auto"/>
        </w:rPr>
        <w:t>As the Company adopted the Revenue Standard using the modified retrospective method effective the first day of its 2018 fiscal year, results for its 2018 fiscal year are presented under the Revenue Standard while prior period amounts are not adjusted and continue to be reported in accordance with our historic accounting under ASC Topic 605, which required that revenue was accounted for when the earnings process was complete.</w:t>
      </w:r>
    </w:p>
    <w:p>
      <w:pPr>
        <w:spacing w:after="0" w:line="111"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The Company recorded a net increase to retained earnings of $2.1 million as of the first day of its 2018 fiscal year due to the cumulative impact of adopting the Revenue Standard. In connection with the adjustment to retained earnings, the Company also recorded an increase of $4.4 million in contract assets (which are included in Prepaid expenses and other assets), a decrease of $1.7 million in inventory, and an increase in taxes payable of $0.6 million.</w:t>
      </w:r>
    </w:p>
    <w:p>
      <w:pPr>
        <w:spacing w:after="0" w:line="93"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impact to revenues, gross profit and net income for the three months ended June 30, 2018 were reductions of $1.9 million, $1.2 million and $0.9 million, respectively, and for the six months ended June 30, 2018 were reductions of $2.5 million, $1.6 million and $1.2 million, respectively, as a result of applying the Revenue Standard as compared to the amounts that would have been recognized under ASC Topic 605.</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71" w:lineRule="exact"/>
        <w:rPr>
          <w:sz w:val="20"/>
          <w:szCs w:val="20"/>
          <w:color w:val="auto"/>
        </w:rPr>
      </w:pPr>
    </w:p>
    <w:p>
      <w:pPr>
        <w:jc w:val="both"/>
        <w:ind w:right="360" w:firstLine="486"/>
        <w:spacing w:after="0" w:line="264" w:lineRule="auto"/>
        <w:rPr>
          <w:sz w:val="20"/>
          <w:szCs w:val="20"/>
          <w:color w:val="auto"/>
        </w:rPr>
      </w:pPr>
      <w:r>
        <w:rPr>
          <w:rFonts w:ascii="Arial" w:cs="Arial" w:eastAsia="Arial" w:hAnsi="Arial"/>
          <w:sz w:val="18"/>
          <w:szCs w:val="18"/>
          <w:color w:val="auto"/>
        </w:rPr>
        <w:t>The Company recognizes revenue when control of the promised goods is transferred to its customers in an amount that reflects the consideration it expects to be entitled to in exchange for those goods. Sales, value add, and other taxes the Company collects are excluded from revenues. The Company receives payment in accordance with standard customer terms.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7" w:name="page8"/>
    <w:bookmarkEnd w:id="7"/>
    <w:p>
      <w:pPr>
        <w:ind w:left="400"/>
        <w:spacing w:after="0"/>
        <w:rPr>
          <w:sz w:val="20"/>
          <w:szCs w:val="20"/>
          <w:color w:val="auto"/>
        </w:rPr>
      </w:pPr>
      <w:r>
        <w:rPr>
          <w:rFonts w:ascii="Arial" w:cs="Arial" w:eastAsia="Arial" w:hAnsi="Arial"/>
          <w:sz w:val="18"/>
          <w:szCs w:val="18"/>
          <w:color w:val="auto"/>
        </w:rPr>
        <w:t>The following table presents the Company's revenues disaggregated by business unit: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00"/>
              <w:spacing w:after="0" w:line="223"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5"/>
                <w:szCs w:val="25"/>
                <w:b w:val="1"/>
                <w:bCs w:val="1"/>
                <w:color w:val="auto"/>
                <w:vertAlign w:val="superscript"/>
              </w:rPr>
              <w:t>(a)</w:t>
            </w: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450"/>
              <w:spacing w:after="0" w:line="223"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 Compounds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899,559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820,487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Fragrance Compounds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Consumer Fragrances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274,586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554,849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505,891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240"/>
              <w:spacing w:after="0"/>
              <w:rPr>
                <w:sz w:val="20"/>
                <w:szCs w:val="20"/>
                <w:color w:val="auto"/>
              </w:rPr>
            </w:pPr>
            <w:r>
              <w:rPr>
                <w:rFonts w:ascii="Arial" w:cs="Arial" w:eastAsia="Arial" w:hAnsi="Arial"/>
                <w:sz w:val="18"/>
                <w:szCs w:val="18"/>
                <w:color w:val="auto"/>
              </w:rPr>
              <w:t>Fine Fragrances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97,448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91,432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195,817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179,199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Fragrance Ingredients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165,577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920,016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842,861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1,850,944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1,671,154</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8"/>
          <w:szCs w:val="18"/>
          <w:color w:val="auto"/>
        </w:rPr>
        <w:t>Prior period amounts have not been adjusted based on the modified retrospective method.</w:t>
      </w:r>
    </w:p>
    <w:p>
      <w:pPr>
        <w:spacing w:after="0" w:line="171"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The following table presents our revenues disaggregated by region, based on the region of our customers: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ind w:left="200"/>
              <w:spacing w:after="0" w:line="223"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5"/>
                <w:szCs w:val="25"/>
                <w:b w:val="1"/>
                <w:bCs w:val="1"/>
                <w:color w:val="auto"/>
                <w:vertAlign w:val="superscript"/>
              </w:rPr>
              <w:t>(a)</w:t>
            </w: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450"/>
              <w:spacing w:after="0" w:line="223"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Africa and Middle East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292,848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516,976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Greater Asia</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242,221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224,703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485,779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447,523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449,357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Latin America</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135,893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128,337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272,805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257,298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920,016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842,861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1,850,944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1,671,154</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4560" w:hanging="412"/>
        <w:spacing w:after="0" w:line="438"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8"/>
          <w:szCs w:val="18"/>
          <w:color w:val="auto"/>
        </w:rPr>
        <w:t xml:space="preserve">Prior period amounts have not been adjusted based on the modified retrospective method. </w:t>
      </w:r>
      <w:r>
        <w:rPr>
          <w:rFonts w:ascii="Arial" w:cs="Arial" w:eastAsia="Arial" w:hAnsi="Arial"/>
          <w:sz w:val="18"/>
          <w:szCs w:val="18"/>
          <w:i w:val="1"/>
          <w:iCs w:val="1"/>
          <w:u w:val="single" w:color="auto"/>
          <w:color w:val="auto"/>
        </w:rPr>
        <w:t>Flavors and Fragrances Compounds Revenues</w:t>
      </w:r>
    </w:p>
    <w:p>
      <w:pPr>
        <w:spacing w:after="0" w:line="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231F20"/>
        </w:rPr>
        <w:t>The Company accounts for a contract when it has approval and commitment from both parties, the rights of the parties and payment terms (which vary by customer) are identified, the contract has commercial substance, and collectability of consideration is probable. Consistent with our past practice, the amount of revenue recognized is adjusted at the time of sale for expected discounts and rebates (“Variable Consideration”).</w:t>
      </w:r>
    </w:p>
    <w:p>
      <w:pPr>
        <w:spacing w:after="0" w:line="1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231F20"/>
        </w:rPr>
        <w:t>The Company generates revenues primarily by manufacturing customized Flavor compounds and Fragrance compounds for the exclusive use of our customers. The Company combines the shipment of goods with their manufacture to account for both shipment and manufacture as the sole performance obligation.</w:t>
      </w:r>
    </w:p>
    <w:p>
      <w:pPr>
        <w:spacing w:after="0" w:line="26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With respect to the vast majority of the Company’s contracts for Compounds products</w:t>
      </w:r>
      <w:r>
        <w:rPr>
          <w:rFonts w:ascii="Arial" w:cs="Arial" w:eastAsia="Arial" w:hAnsi="Arial"/>
          <w:sz w:val="16"/>
          <w:szCs w:val="16"/>
          <w:color w:val="231F20"/>
        </w:rPr>
        <w:t>, the Company recognizes a sale at the point in time when it</w:t>
      </w:r>
      <w:r>
        <w:rPr>
          <w:rFonts w:ascii="Arial" w:cs="Arial" w:eastAsia="Arial" w:hAnsi="Arial"/>
          <w:sz w:val="16"/>
          <w:szCs w:val="16"/>
          <w:color w:val="auto"/>
        </w:rPr>
        <w:t xml:space="preserve"> </w:t>
      </w:r>
      <w:r>
        <w:rPr>
          <w:rFonts w:ascii="Arial" w:cs="Arial" w:eastAsia="Arial" w:hAnsi="Arial"/>
          <w:sz w:val="16"/>
          <w:szCs w:val="16"/>
          <w:color w:val="231F20"/>
        </w:rPr>
        <w:t>ships the product from its manufacturing facility to its customer, as this is the time when control of the goods has transferred to the customer. The amount of consideration received and revenue recognized is impacted by the Variable Consideration the Company has agreed with its customers. The Company estimates Variable Consideration amounts for each customer based on the specific agreement, an analysis of historical volumes and the current activity with that customer. The Company reassesses its estimates of Variable Consideration at each reporting date throughout the contract period and updates the estimate until the uncertainty is resolved. During the current period, changes to estimates of Variable Consideration have been immaterial.</w:t>
      </w:r>
    </w:p>
    <w:p>
      <w:pPr>
        <w:spacing w:after="0" w:line="1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With respect to a small number of contracts for the sale of Compounds products, the Company recognizes revenue over time as it manufactures customized compounds that do not have an alternative use and for which the contracts provide the Company with an enforceable right to payment, including a reasonable profit, at all times during the contract term commencing with the manufacturing of the goods. </w:t>
      </w:r>
      <w:r>
        <w:rPr>
          <w:rFonts w:ascii="Arial" w:cs="Arial" w:eastAsia="Arial" w:hAnsi="Arial"/>
          <w:sz w:val="17"/>
          <w:szCs w:val="17"/>
          <w:color w:val="231F20"/>
        </w:rPr>
        <w:t>When revenue is recognized over time, the amount</w:t>
      </w:r>
      <w:r>
        <w:rPr>
          <w:rFonts w:ascii="Arial" w:cs="Arial" w:eastAsia="Arial" w:hAnsi="Arial"/>
          <w:sz w:val="17"/>
          <w:szCs w:val="17"/>
          <w:color w:val="auto"/>
        </w:rPr>
        <w:t xml:space="preserve"> </w:t>
      </w:r>
      <w:r>
        <w:rPr>
          <w:rFonts w:ascii="Arial" w:cs="Arial" w:eastAsia="Arial" w:hAnsi="Arial"/>
          <w:sz w:val="17"/>
          <w:szCs w:val="17"/>
          <w:color w:val="231F20"/>
        </w:rPr>
        <w:t>of revenue recognized is based on the extent of progress towards completion of the promised goods. The Company generally uses the output method to measure progress for its contracts as this method reflects the transfer of goods to the customer. Once customization begins, the manufacturing process is generally completed within a two week period. Due to the short time frame for production, there is little estimation uncertainty in the process. In addition, due to the customized nature of our products, our returns are not material.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ind w:left="420"/>
        <w:spacing w:after="0"/>
        <w:rPr>
          <w:sz w:val="20"/>
          <w:szCs w:val="20"/>
          <w:color w:val="auto"/>
        </w:rPr>
      </w:pPr>
      <w:r>
        <w:rPr>
          <w:rFonts w:ascii="Arial" w:cs="Arial" w:eastAsia="Arial" w:hAnsi="Arial"/>
          <w:sz w:val="18"/>
          <w:szCs w:val="18"/>
          <w:i w:val="1"/>
          <w:iCs w:val="1"/>
          <w:u w:val="single" w:color="auto"/>
          <w:color w:val="auto"/>
        </w:rPr>
        <w:t>Fragrance Ingredients Revenues</w:t>
      </w:r>
    </w:p>
    <w:p>
      <w:pPr>
        <w:spacing w:after="0" w:line="17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231F20"/>
        </w:rPr>
        <w:t>The Company accounts for a contract when it has approval and commitment from both parties, the rights of the parties and payment terms (which vary by customer) are identified, the contract has commercial substance, and collectability of consideration is probable.</w:t>
      </w:r>
    </w:p>
    <w:p>
      <w:pPr>
        <w:spacing w:after="0" w:line="116"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231F20"/>
        </w:rPr>
        <w:t>The Company generates revenues primarily by manufacturing Ingredients products for the use of our customers. The Company combines the shipment of goods with their manufacture to account for both shipment and manufacture as the sole performance obligation.</w:t>
      </w:r>
    </w:p>
    <w:p>
      <w:pPr>
        <w:spacing w:after="0" w:line="22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231F20"/>
        </w:rPr>
        <w:t>Generally, the Company recognizes a sale at the time when it ships the product from their manufacturing facility to their customer, as this is the point when control of the goods or services has transferred to the customer. The amount of consideration received and revenue recognized is impacted by discounts offered to its customers. The Company estimates discounts based on an analysis of historical experience and current activity. The Company assesses its estimates of discounts at each reporting date throughout the contract period and updates its estimates until the uncertainty has been resolved. During the current period, changes to estimates of discounts have been immaterial.</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Contract Asset and Accounts Receivable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31F20"/>
        </w:rPr>
        <w:t>following</w:t>
      </w:r>
      <w:r>
        <w:rPr>
          <w:rFonts w:ascii="Arial" w:cs="Arial" w:eastAsia="Arial" w:hAnsi="Arial"/>
          <w:sz w:val="16"/>
          <w:szCs w:val="16"/>
          <w:color w:val="auto"/>
        </w:rPr>
        <w:t xml:space="preserve"> table reflects the balances in our contract assets and accounts receivable for the six months ended June 30, 2018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Pr>
          <w:p>
            <w:pPr>
              <w:spacing w:after="0"/>
              <w:rPr>
                <w:sz w:val="19"/>
                <w:szCs w:val="19"/>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2018</w:t>
            </w:r>
          </w:p>
        </w:tc>
        <w:tc>
          <w:tcPr>
            <w:tcW w:w="360" w:type="dxa"/>
            <w:vAlign w:val="bottom"/>
          </w:tcPr>
          <w:p>
            <w:pPr>
              <w:spacing w:after="0"/>
              <w:rPr>
                <w:sz w:val="19"/>
                <w:szCs w:val="19"/>
                <w:color w:val="auto"/>
              </w:rPr>
            </w:pPr>
          </w:p>
        </w:tc>
        <w:tc>
          <w:tcPr>
            <w:tcW w:w="1700" w:type="dxa"/>
            <w:vAlign w:val="bottom"/>
          </w:tcPr>
          <w:p>
            <w:pPr>
              <w:jc w:val="right"/>
              <w:ind w:right="470"/>
              <w:spacing w:after="0"/>
              <w:rPr>
                <w:sz w:val="20"/>
                <w:szCs w:val="20"/>
                <w:color w:val="auto"/>
              </w:rPr>
            </w:pPr>
            <w:r>
              <w:rPr>
                <w:rFonts w:ascii="Arial" w:cs="Arial" w:eastAsia="Arial" w:hAnsi="Arial"/>
                <w:sz w:val="18"/>
                <w:szCs w:val="18"/>
                <w:b w:val="1"/>
                <w:bCs w:val="1"/>
                <w:color w:val="auto"/>
              </w:rPr>
              <w:t>At adoption</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Receivables (included in Trade receivables)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737,477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677,055</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Contract asset - Short term</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4,449</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w:t>
      </w:r>
    </w:p>
    <w:p>
      <w:pPr>
        <w:spacing w:after="0" w:line="17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Net income per share is based on the weighted average number of shares outstanding. A reconciliation of the shares used in the computation of basic and diluted net income per share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60" w:type="dxa"/>
            <w:vAlign w:val="bottom"/>
            <w:gridSpan w:val="4"/>
          </w:tcPr>
          <w:p>
            <w:pPr>
              <w:ind w:left="520"/>
              <w:spacing w:after="0"/>
              <w:rPr>
                <w:sz w:val="20"/>
                <w:szCs w:val="20"/>
                <w:color w:val="auto"/>
              </w:rPr>
            </w:pPr>
            <w:r>
              <w:rPr>
                <w:rFonts w:ascii="Arial" w:cs="Arial" w:eastAsia="Arial" w:hAnsi="Arial"/>
                <w:sz w:val="18"/>
                <w:szCs w:val="18"/>
                <w:b w:val="1"/>
                <w:bCs w:val="1"/>
                <w:color w:val="auto"/>
              </w:rPr>
              <w:t>Three Months Ended June 30,</w:t>
            </w:r>
          </w:p>
        </w:tc>
        <w:tc>
          <w:tcPr>
            <w:tcW w:w="326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4700" w:type="dxa"/>
            <w:vAlign w:val="bottom"/>
            <w:gridSpan w:val="3"/>
          </w:tcPr>
          <w:p>
            <w:pPr>
              <w:ind w:left="40"/>
              <w:spacing w:after="0"/>
              <w:rPr>
                <w:sz w:val="20"/>
                <w:szCs w:val="20"/>
                <w:color w:val="auto"/>
              </w:rPr>
            </w:pPr>
            <w:r>
              <w:rPr>
                <w:rFonts w:ascii="Arial" w:cs="Arial" w:eastAsia="Arial" w:hAnsi="Arial"/>
                <w:sz w:val="14"/>
                <w:szCs w:val="14"/>
                <w:i w:val="1"/>
                <w:iCs w:val="1"/>
                <w:color w:val="auto"/>
              </w:rPr>
              <w:t>(SHARES IN THOUSANDS)</w:t>
            </w: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6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79,065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79,072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79,041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79,088</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Assumed dilution under stock plans</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272</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79,303</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79,305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79,347</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79,360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There were no stock options or stock-settled appreciation rights (“SSARs”) excluded from the computation of diluted net income per share for the three and six months ended June 30, 2018 and 2017.</w:t>
      </w:r>
    </w:p>
    <w:p>
      <w:pPr>
        <w:spacing w:after="0" w:line="11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has issued shares of purchased restricted common stock and purchased restricted common stock units (collectively “PRSUs”) which contain rights to nonforfeitable dividends while these shares are outstanding and thus are considered participating securities. Such securities are required to be included in the computation of basic and diluted earnings per share pursuant to the two-class method. The Company did not present the two-class method since the difference between basic and diluted net income per share for both unrestricted common shareholders and PRSU shareholders was less than $0.01 per share for each period presented, and the number of PRSUs outstanding as of June 30, 2018 and 2017 was immaterial. Net income allocated to such PRSUs was $0.2 million for each of the three months ended June 30, 2018 and 2017, respectively, and $0.5 million during each of the six months ended June 30, 2018 and 2017.</w:t>
      </w:r>
    </w:p>
    <w:p>
      <w:pPr>
        <w:spacing w:after="0" w:line="13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tab/>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Acquisition of Frutarom</w:t>
      </w:r>
    </w:p>
    <w:p>
      <w:pPr>
        <w:spacing w:after="0" w:line="17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On May 7, 2018, the Company entered into a definitive agreement and plan of merger to acquire Frutarom Industries Ltd. (“Frutarom”). Frutarom is an Israeli company that, through its subsidiaries, develops, produces and markets flavors and fine ingredients used in manufacturing food, beverages, flavors and fragrances, pharma/nutraceuticals, cosmetics and personal care products. The proposed merger was unanimously approved by the Boards of Directors of both companies and was approved by Frutarom shareholders on August 6, 2018. Closing is dependent upon clearance by the relevant regulatory authorities and other customary closing conditions and is currently expected to occur in the fourth quarter of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ind w:firstLine="324"/>
        <w:spacing w:after="0" w:line="259" w:lineRule="auto"/>
        <w:rPr>
          <w:sz w:val="20"/>
          <w:szCs w:val="20"/>
          <w:color w:val="auto"/>
        </w:rPr>
      </w:pPr>
      <w:r>
        <w:rPr>
          <w:rFonts w:ascii="Arial" w:cs="Arial" w:eastAsia="Arial" w:hAnsi="Arial"/>
          <w:sz w:val="18"/>
          <w:szCs w:val="18"/>
          <w:color w:val="auto"/>
        </w:rPr>
        <w:t>Under the terms of the merger agreement, for each share of outstanding stock, Frutarom shareholders will receive $71.19 in cash and 0.2490 of a share of the Company's common stock. The transaction was valued, based on the Company's stock price as of May 7, 2018, at approximately $7.1 billion, including the assumption of approximately $681 million of Frutarom's net debt, which the Company intends to refinance or repay concurrent with the closing of the transaction.</w:t>
      </w:r>
    </w:p>
    <w:p>
      <w:pPr>
        <w:spacing w:after="0" w:line="13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 expects to fund the cash portion of the merger consideration through up to $3.1 billion of debt financing, cash on hand and the issuance of up to $2.2 billion in new equity securities. In connection with these financings, the Company also expects to pay its outstanding $250 million of its Senior Notes 2007 and the associated make-whole payments of approximately $35 million.</w:t>
      </w:r>
    </w:p>
    <w:p>
      <w:pPr>
        <w:spacing w:after="0" w:line="12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Based on the exchange ratio of 0.2490 of a share of the Company’s common stock for each ordinary share of Frutarom issued and outstanding at closing, the estimated number of shares of the Company’s common stock issuable as a portion of the merger consideration is approximately 14.88 million shares, which will result in former Frutarom shareholders holding approximately 15.8% of the outstanding fully diluted IFF common stock, based on the number of outstanding shares of common stock and outstanding stock-based awards of IFF and the number of outstanding ordinary shares and share-based awards of Frutarom as of May 4, 2018, the last trading day for IFF common stock prior to the announcement of the acquisition and without taking into account the issuance by IFF of equity securities in connection with the financing of the acquisition.</w:t>
      </w:r>
    </w:p>
    <w:p>
      <w:pPr>
        <w:spacing w:after="0" w:line="124"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On May 7, 2018, the Company entered into a bridge facility commitment letter pursuant to which Morgan Stanley Senior Funding, Inc. committed, subject to customary conditions, to provide up to $5.45 billion under a 364-day senior unsecured bridge term loan credit facility to finance the cash portion of the merger consideration if the Company has not completed its anticipated financing transactions prior to the consummation of the acquisition.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PowderPure</w:t>
      </w:r>
    </w:p>
    <w:p>
      <w:pPr>
        <w:spacing w:after="0" w:line="171" w:lineRule="exact"/>
        <w:rPr>
          <w:sz w:val="20"/>
          <w:szCs w:val="20"/>
          <w:color w:val="auto"/>
        </w:rPr>
      </w:pPr>
    </w:p>
    <w:p>
      <w:pPr>
        <w:ind w:right="320" w:firstLine="324"/>
        <w:spacing w:after="0" w:line="293" w:lineRule="auto"/>
        <w:rPr>
          <w:sz w:val="20"/>
          <w:szCs w:val="20"/>
          <w:color w:val="auto"/>
        </w:rPr>
      </w:pPr>
      <w:r>
        <w:rPr>
          <w:rFonts w:ascii="Arial" w:cs="Arial" w:eastAsia="Arial" w:hAnsi="Arial"/>
          <w:sz w:val="16"/>
          <w:szCs w:val="16"/>
          <w:color w:val="auto"/>
        </w:rPr>
        <w:t>On April 7, 2017, the Company completed the acquisition of 100% of the outstanding shares of Columbia PhytoTechnology, LLC d/b/a PowderPure ("PowderPure"), a privately-held flavors company with facilities in North America. The acquisition was accounted for under the purchase method. PowderPure was acquired to expand expertise in, and product offerings of, clean label solutions within the Flavors business. The Company paid approximately $54.6 million, including $0.4 million of cash acquired for this acquisition, which was funded from existing resources. Additionally, the Company recorded an accrual of approximately $1.4 million representing the estimate at acquisition of additional contingent consideration payable to the former owners of PowderPure (the maximum earnout payable is $10 million upon satisfaction of certain performance metrics).</w:t>
      </w:r>
    </w:p>
    <w:p>
      <w:pPr>
        <w:spacing w:after="0" w:line="11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purchase price exceeded the preliminary fair value of existing net assets by approximately $48.0 million. The excess was allocated principally to identifiable intangible assets including approximately $27.5 million to proprietary technology, approximately $4.5 million to trade name, approximately $0.8 million to customer relationships, and approximately $15.2 million of goodwill which is deductible for tax purposes. Goodwill is the excess of the purchase price over the fair value of net assets acquired and represents the value the Company expects to achieve from its increased exposure to clean label products within the existing Flavors business. The intangible assets are being amortized over the following estimated useful lives: proprietary technology, 14 years; trade name, 14 years; and customer relationships, 2 years.</w:t>
      </w:r>
    </w:p>
    <w:p>
      <w:pPr>
        <w:spacing w:after="0" w:line="13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purchase price allocation was completed in the first quarter of 2018. No material adjustments have been made to the purchase price allocation since the preliminary valuation performed in the second quarter of 2017. The estimated amount of the contingent consideration payable was adjusted during the first quarter of 2018 and resulted in a decrease in administrative expense of approximately $0.6 million.</w:t>
      </w:r>
    </w:p>
    <w:p>
      <w:pPr>
        <w:spacing w:after="0" w:line="127" w:lineRule="exact"/>
        <w:rPr>
          <w:sz w:val="20"/>
          <w:szCs w:val="20"/>
          <w:color w:val="auto"/>
        </w:rPr>
      </w:pPr>
    </w:p>
    <w:p>
      <w:pPr>
        <w:ind w:right="1480" w:firstLine="324"/>
        <w:spacing w:after="0" w:line="371" w:lineRule="auto"/>
        <w:rPr>
          <w:sz w:val="20"/>
          <w:szCs w:val="20"/>
          <w:color w:val="auto"/>
        </w:rPr>
      </w:pPr>
      <w:r>
        <w:rPr>
          <w:rFonts w:ascii="Arial" w:cs="Arial" w:eastAsia="Arial" w:hAnsi="Arial"/>
          <w:sz w:val="18"/>
          <w:szCs w:val="18"/>
          <w:color w:val="auto"/>
        </w:rPr>
        <w:t xml:space="preserve">No pro forma financial information for 2017 is presented as the acquisition was not material to the consolidated financial statements. </w:t>
      </w:r>
      <w:r>
        <w:rPr>
          <w:rFonts w:ascii="Arial" w:cs="Arial" w:eastAsia="Arial" w:hAnsi="Arial"/>
          <w:sz w:val="18"/>
          <w:szCs w:val="18"/>
          <w:i w:val="1"/>
          <w:iCs w:val="1"/>
          <w:color w:val="auto"/>
        </w:rPr>
        <w:t>Fragrance Resources</w:t>
      </w:r>
    </w:p>
    <w:p>
      <w:pPr>
        <w:spacing w:after="0" w:line="3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January 17, 2017, the Company completed the acquisition of 100% of the outstanding shares of Fragrance Resources, Inc., Fragrance Resources GmbH, and Fragrance Resources SAS (collectively "Fragrance Resources"), a privately-held fragrance company with facilities in Germany, North America, France, and China. The acquisition was accounted for under the purchase method. Fragrance Resources was acquired to strengthen the North American and German Fragrances business.</w:t>
      </w:r>
    </w:p>
    <w:p>
      <w:pPr>
        <w:spacing w:after="0" w:line="13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paid approximately €143.4 million (approximately $151.9 million) including approximately €13.7 million (approximately $14.4 million) of cash acquired for this acquisition, which was funded from existing resources including use of its revolving credit facility. Of the total paid, approximately €142.0 million (approximately $150.5 million) was paid at closing and an additional €1.4 million (approximately $1.5 million) was paid in connection with the finalization of the working capital adjustment. The purchase price exceeded the fair value of existing net assets by approximately $122.0 million. The excess was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746" w:right="279" w:bottom="1440" w:gutter="0" w:footer="0" w:header="0"/>
        </w:sectPr>
      </w:pPr>
    </w:p>
    <w:bookmarkStart w:id="10" w:name="page11"/>
    <w:bookmarkEnd w:id="10"/>
    <w:p>
      <w:pPr>
        <w:ind w:right="80"/>
        <w:spacing w:after="0" w:line="276" w:lineRule="auto"/>
        <w:rPr>
          <w:sz w:val="20"/>
          <w:szCs w:val="20"/>
          <w:color w:val="auto"/>
        </w:rPr>
      </w:pPr>
      <w:r>
        <w:rPr>
          <w:rFonts w:ascii="Arial" w:cs="Arial" w:eastAsia="Arial" w:hAnsi="Arial"/>
          <w:sz w:val="17"/>
          <w:szCs w:val="17"/>
          <w:color w:val="auto"/>
        </w:rPr>
        <w:t>allocated principally to identifiable intangible assets including approximately $51.7 million related to customer relationships, approximately$13.6 million related to proprietary technology and trade name, and approximately $72.0 million of goodwill (which is not deductible for tax purposes) and approximately $15.3 million of net deferred tax liability. Goodwill is the excess of the purchase price over the fair value of net assets acquired and represents synergies from the addition of Fragrance Resources to the Company's existing Fragrances business. The intangible assets are being amortized over the following estimated useful lives: trade name, 2 years; proprietary technology, 5 years; and customer relationships, 12 - 16 years.</w:t>
      </w:r>
    </w:p>
    <w:p>
      <w:pPr>
        <w:spacing w:after="0" w:line="119"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The purchase price allocation was finalized in the fourth quarter of 2017. Certain measurement period adjustments were made subsequent to the initial purchase price allocation including adjustments related to the finalization of the purchase price, the allocation of certain intangibles and the calculation of applicable deferred taxes. The additional amortization of intangibles required as a result of the measurement period adjustments was not material.</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pro forma financial information for 2016 is presented as the acquisition was not material to the consolidated financial statements.</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4.</w:t>
        <w:tab/>
        <w:t>RESTRUCTURING AND OTHER CHARGES, NET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Restructuring and other charges primarily consist of separation costs for employees including severance, outplacement and other benefit costs.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Productivity Program</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February 15, 2017, the Company announced that it was adopting a multi-year productivity program designed to improve overall financial performance, provide flexibility to invest in growth opportunities and drive long-term value creation. In connection with this program, the Company expects to optimize its global footprint and simplify its organizational structures globally. In connection with this initiative, the Company expects to incur cumulative, pre-tax cash charges of between $30-$35 million, consisting primarily of $24-$26 million in personnel-related costs and an estimated $6 million in facility-related costs, such as lease termination, and integration-related costs.</w:t>
      </w:r>
    </w:p>
    <w:p>
      <w:pPr>
        <w:spacing w:after="0" w:line="13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recorded $22.5 million of charges related to personnel costs and lease termination costs through the second quarter of 2018, with the remainder of the personnel related and other costs expected to be recognized by the end of 2018. The Company recorded $1.2 million and $3.1 million of charges related to personnel costs and lease termination costs during the three months ended June 30, 2018 and 2017, respectively, and $1.9 million and $13.2 million of charges related to personnel costs and lease termination costs during the six months ended June 30, 2018 and 2017, respectively.</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made payments of $4.5 million related to severance in 2018. The overall charges were split approximately evenly between Flavors and Fragrances. This initiative is expected to result in the reduction of approximately 370 members of the Company’s global workforce, including acquired entities, in various parts of the organization.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restructuring liabilities during the six months ended June 30, 2018,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Employee-Related</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3"/>
              </w:rPr>
              <w:t>Costs</w:t>
            </w:r>
          </w:p>
        </w:tc>
        <w:tc>
          <w:tcPr>
            <w:tcW w:w="340" w:type="dxa"/>
            <w:vAlign w:val="bottom"/>
          </w:tcPr>
          <w:p>
            <w:pPr>
              <w:spacing w:after="0"/>
              <w:rPr>
                <w:sz w:val="19"/>
                <w:szCs w:val="19"/>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7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7,957</w:t>
            </w:r>
          </w:p>
        </w:tc>
        <w:tc>
          <w:tcPr>
            <w:tcW w:w="0" w:type="dxa"/>
            <w:vAlign w:val="bottom"/>
          </w:tcPr>
          <w:p>
            <w:pPr>
              <w:spacing w:after="0"/>
              <w:rPr>
                <w:sz w:val="1"/>
                <w:szCs w:val="1"/>
                <w:color w:val="auto"/>
              </w:rPr>
            </w:pPr>
          </w:p>
        </w:tc>
      </w:tr>
      <w:tr>
        <w:trPr>
          <w:trHeight w:val="243"/>
        </w:trPr>
        <w:tc>
          <w:tcPr>
            <w:tcW w:w="4060" w:type="dxa"/>
            <w:vAlign w:val="bottom"/>
            <w:gridSpan w:val="3"/>
          </w:tcPr>
          <w:p>
            <w:pPr>
              <w:ind w:left="40"/>
              <w:spacing w:after="0"/>
              <w:rPr>
                <w:sz w:val="20"/>
                <w:szCs w:val="20"/>
                <w:color w:val="auto"/>
              </w:rPr>
            </w:pPr>
            <w:r>
              <w:rPr>
                <w:rFonts w:ascii="Arial" w:cs="Arial" w:eastAsia="Arial" w:hAnsi="Arial"/>
                <w:sz w:val="18"/>
                <w:szCs w:val="18"/>
                <w:color w:val="auto"/>
              </w:rPr>
              <w:t>Additional charges (reversals), net</w:t>
            </w:r>
          </w:p>
        </w:tc>
        <w:tc>
          <w:tcPr>
            <w:tcW w:w="2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3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37"/>
        </w:trPr>
        <w:tc>
          <w:tcPr>
            <w:tcW w:w="4060" w:type="dxa"/>
            <w:vAlign w:val="bottom"/>
            <w:gridSpan w:val="3"/>
          </w:tcPr>
          <w:p>
            <w:pPr>
              <w:ind w:left="40"/>
              <w:spacing w:after="0"/>
              <w:rPr>
                <w:sz w:val="20"/>
                <w:szCs w:val="20"/>
                <w:color w:val="auto"/>
              </w:rPr>
            </w:pPr>
            <w:r>
              <w:rPr>
                <w:rFonts w:ascii="Arial" w:cs="Arial" w:eastAsia="Arial" w:hAnsi="Arial"/>
                <w:sz w:val="18"/>
                <w:szCs w:val="18"/>
                <w:color w:val="auto"/>
              </w:rPr>
              <w:t>Balance at June 30, 2018</w:t>
            </w:r>
          </w:p>
        </w:tc>
        <w:tc>
          <w:tcPr>
            <w:tcW w:w="2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4,861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40" w:type="dxa"/>
            <w:vAlign w:val="bottom"/>
            <w:vMerge w:val="restart"/>
          </w:tcPr>
          <w:p>
            <w:pPr>
              <w:jc w:val="right"/>
              <w:ind w:right="510"/>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5. GOODWILL AND OTHER 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Movements in goodwill during 2018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1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650"/>
              <w:spacing w:after="0"/>
              <w:rPr>
                <w:sz w:val="20"/>
                <w:szCs w:val="20"/>
                <w:color w:val="auto"/>
              </w:rPr>
            </w:pPr>
            <w:r>
              <w:rPr>
                <w:rFonts w:ascii="Arial" w:cs="Arial" w:eastAsia="Arial" w:hAnsi="Arial"/>
                <w:sz w:val="18"/>
                <w:szCs w:val="18"/>
                <w:b w:val="1"/>
                <w:bCs w:val="1"/>
                <w:color w:val="auto"/>
                <w:w w:val="92"/>
              </w:rPr>
              <w:t>Goodwill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1,156,288</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Acquisitions</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5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Balance at June 30, 2018</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1,148,586</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Other Intangible Assets</w:t>
            </w: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1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8080" w:type="dxa"/>
            <w:vAlign w:val="bottom"/>
            <w:gridSpan w:val="2"/>
          </w:tcPr>
          <w:p>
            <w:pPr>
              <w:ind w:left="380"/>
              <w:spacing w:after="0"/>
              <w:rPr>
                <w:sz w:val="20"/>
                <w:szCs w:val="20"/>
                <w:color w:val="auto"/>
              </w:rPr>
            </w:pPr>
            <w:r>
              <w:rPr>
                <w:rFonts w:ascii="Arial" w:cs="Arial" w:eastAsia="Arial" w:hAnsi="Arial"/>
                <w:sz w:val="18"/>
                <w:szCs w:val="18"/>
                <w:color w:val="auto"/>
              </w:rPr>
              <w:t>Other intangible assets, net consisted of the following amounts: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24"/>
                <w:szCs w:val="24"/>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57"/>
        </w:trPr>
        <w:tc>
          <w:tcPr>
            <w:tcW w:w="81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Asset Type</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402,032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407,636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Trade names &amp; patents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Technological know-how</w:t>
            </w:r>
          </w:p>
        </w:tc>
        <w:tc>
          <w:tcPr>
            <w:tcW w:w="300" w:type="dxa"/>
            <w:vAlign w:val="bottom"/>
          </w:tcPr>
          <w:p>
            <w:pPr>
              <w:spacing w:after="0"/>
              <w:rPr>
                <w:sz w:val="21"/>
                <w:szCs w:val="21"/>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161,331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161,856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24,734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Total carrying value</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626,243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633,077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Accumulated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(116,519)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(104,800)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Trade names &amp; patents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Technological know-how</w:t>
            </w:r>
          </w:p>
        </w:tc>
        <w:tc>
          <w:tcPr>
            <w:tcW w:w="3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(81,580)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(76,766)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(20,483)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Total accumulated amortization</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(234,817)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(217,290)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intangible assets,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391,426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415,787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71" w:lineRule="exact"/>
        <w:rPr>
          <w:sz w:val="20"/>
          <w:szCs w:val="20"/>
          <w:color w:val="auto"/>
        </w:rPr>
      </w:pPr>
    </w:p>
    <w:p>
      <w:pPr>
        <w:jc w:val="both"/>
        <w:ind w:right="360" w:firstLine="405"/>
        <w:spacing w:after="0" w:line="312" w:lineRule="auto"/>
        <w:rPr>
          <w:sz w:val="20"/>
          <w:szCs w:val="20"/>
          <w:color w:val="auto"/>
        </w:rPr>
      </w:pPr>
      <w:r>
        <w:rPr>
          <w:rFonts w:ascii="Arial" w:cs="Arial" w:eastAsia="Arial" w:hAnsi="Arial"/>
          <w:sz w:val="16"/>
          <w:szCs w:val="16"/>
          <w:color w:val="auto"/>
        </w:rPr>
        <w:t>Amortization expense was $9,584 and $8,494 for the three months ended June 30, 2018 and 2017, respectively and $18,769 and $15,561 for the six months ended June 30, 2018 and 2017, respectively. Annual amortization is expected to be $36.0 million for the full year 2018, $34.6 million for the year 2019, $33.9 million for the year 2020, $29.0 million for the year 2021, $25.0 million for the year 2022 and $24.9 million for the year 2023.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NOTE 6.  DEBT</w:t>
            </w:r>
          </w:p>
        </w:tc>
        <w:tc>
          <w:tcPr>
            <w:tcW w:w="2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300" w:type="dxa"/>
            <w:vAlign w:val="bottom"/>
            <w:gridSpan w:val="3"/>
          </w:tcPr>
          <w:p>
            <w:pPr>
              <w:spacing w:after="0"/>
              <w:rPr>
                <w:sz w:val="20"/>
                <w:szCs w:val="20"/>
                <w:color w:val="auto"/>
              </w:rPr>
            </w:pPr>
            <w:r>
              <w:rPr>
                <w:rFonts w:ascii="Arial" w:cs="Arial" w:eastAsia="Arial" w:hAnsi="Arial"/>
                <w:sz w:val="18"/>
                <w:szCs w:val="18"/>
                <w:color w:val="auto"/>
              </w:rPr>
              <w:t>Debt consists of the following:</w:t>
            </w: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3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100" w:type="dxa"/>
            <w:vAlign w:val="bottom"/>
          </w:tcPr>
          <w:p>
            <w:pPr>
              <w:jc w:val="right"/>
              <w:ind w:right="91"/>
              <w:spacing w:after="0"/>
              <w:rPr>
                <w:sz w:val="20"/>
                <w:szCs w:val="20"/>
                <w:color w:val="auto"/>
              </w:rPr>
            </w:pPr>
            <w:r>
              <w:rPr>
                <w:rFonts w:ascii="Arial" w:cs="Arial" w:eastAsia="Arial" w:hAnsi="Arial"/>
                <w:sz w:val="18"/>
                <w:szCs w:val="18"/>
                <w:b w:val="1"/>
                <w:bCs w:val="1"/>
                <w:color w:val="auto"/>
              </w:rPr>
              <w:t>Effective Interest Rate</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2018</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3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Senior notes - 2007</w:t>
            </w:r>
            <w:r>
              <w:rPr>
                <w:rFonts w:ascii="Arial" w:cs="Arial" w:eastAsia="Arial" w:hAnsi="Arial"/>
                <w:sz w:val="25"/>
                <w:szCs w:val="25"/>
                <w:color w:val="auto"/>
                <w:vertAlign w:val="superscript"/>
              </w:rPr>
              <w:t>(1)(4)</w:t>
            </w:r>
          </w:p>
        </w:tc>
        <w:tc>
          <w:tcPr>
            <w:tcW w:w="2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6.40% - 6.82%</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249,776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249,765</w:t>
            </w:r>
          </w:p>
        </w:tc>
        <w:tc>
          <w:tcPr>
            <w:tcW w:w="0" w:type="dxa"/>
            <w:vAlign w:val="bottom"/>
          </w:tcPr>
          <w:p>
            <w:pPr>
              <w:spacing w:after="0"/>
              <w:rPr>
                <w:sz w:val="1"/>
                <w:szCs w:val="1"/>
                <w:color w:val="auto"/>
              </w:rPr>
            </w:pPr>
          </w:p>
        </w:tc>
      </w:tr>
      <w:tr>
        <w:trPr>
          <w:trHeight w:val="270"/>
        </w:trPr>
        <w:tc>
          <w:tcPr>
            <w:tcW w:w="43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Senior notes - 2013</w:t>
            </w:r>
            <w:r>
              <w:rPr>
                <w:rFonts w:ascii="Arial" w:cs="Arial" w:eastAsia="Arial" w:hAnsi="Arial"/>
                <w:sz w:val="25"/>
                <w:szCs w:val="25"/>
                <w:color w:val="auto"/>
                <w:vertAlign w:val="superscript"/>
              </w:rPr>
              <w:t>(1)</w:t>
            </w:r>
          </w:p>
        </w:tc>
        <w:tc>
          <w:tcPr>
            <w:tcW w:w="2100" w:type="dxa"/>
            <w:vAlign w:val="bottom"/>
          </w:tcPr>
          <w:p>
            <w:pPr>
              <w:jc w:val="right"/>
              <w:spacing w:after="0"/>
              <w:rPr>
                <w:sz w:val="20"/>
                <w:szCs w:val="20"/>
                <w:color w:val="auto"/>
              </w:rPr>
            </w:pPr>
            <w:r>
              <w:rPr>
                <w:rFonts w:ascii="Arial" w:cs="Arial" w:eastAsia="Arial" w:hAnsi="Arial"/>
                <w:sz w:val="18"/>
                <w:szCs w:val="18"/>
                <w:color w:val="auto"/>
              </w:rPr>
              <w:t>3.39%</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298,823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298,670</w:t>
            </w:r>
          </w:p>
        </w:tc>
        <w:tc>
          <w:tcPr>
            <w:tcW w:w="0" w:type="dxa"/>
            <w:vAlign w:val="bottom"/>
          </w:tcPr>
          <w:p>
            <w:pPr>
              <w:spacing w:after="0"/>
              <w:rPr>
                <w:sz w:val="1"/>
                <w:szCs w:val="1"/>
                <w:color w:val="auto"/>
              </w:rPr>
            </w:pPr>
          </w:p>
        </w:tc>
      </w:tr>
      <w:tr>
        <w:trPr>
          <w:trHeight w:val="270"/>
        </w:trPr>
        <w:tc>
          <w:tcPr>
            <w:tcW w:w="43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Euro Senior notes - 2016</w:t>
            </w:r>
            <w:r>
              <w:rPr>
                <w:rFonts w:ascii="Arial" w:cs="Arial" w:eastAsia="Arial" w:hAnsi="Arial"/>
                <w:sz w:val="25"/>
                <w:szCs w:val="25"/>
                <w:color w:val="auto"/>
                <w:vertAlign w:val="superscript"/>
              </w:rPr>
              <w:t>(1)</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573,514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589,848</w:t>
            </w:r>
          </w:p>
        </w:tc>
        <w:tc>
          <w:tcPr>
            <w:tcW w:w="0" w:type="dxa"/>
            <w:vAlign w:val="bottom"/>
          </w:tcPr>
          <w:p>
            <w:pPr>
              <w:spacing w:after="0"/>
              <w:rPr>
                <w:sz w:val="1"/>
                <w:szCs w:val="1"/>
                <w:color w:val="auto"/>
              </w:rPr>
            </w:pPr>
          </w:p>
        </w:tc>
      </w:tr>
      <w:tr>
        <w:trPr>
          <w:trHeight w:val="270"/>
        </w:trPr>
        <w:tc>
          <w:tcPr>
            <w:tcW w:w="43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Senior notes - 2017</w:t>
            </w:r>
            <w:r>
              <w:rPr>
                <w:rFonts w:ascii="Arial" w:cs="Arial" w:eastAsia="Arial" w:hAnsi="Arial"/>
                <w:sz w:val="25"/>
                <w:szCs w:val="25"/>
                <w:color w:val="auto"/>
                <w:vertAlign w:val="superscript"/>
              </w:rPr>
              <w:t>(1)</w:t>
            </w:r>
          </w:p>
        </w:tc>
        <w:tc>
          <w:tcPr>
            <w:tcW w:w="2100" w:type="dxa"/>
            <w:vAlign w:val="bottom"/>
          </w:tcPr>
          <w:p>
            <w:pPr>
              <w:jc w:val="right"/>
              <w:spacing w:after="0"/>
              <w:rPr>
                <w:sz w:val="20"/>
                <w:szCs w:val="20"/>
                <w:color w:val="auto"/>
              </w:rPr>
            </w:pPr>
            <w:r>
              <w:rPr>
                <w:rFonts w:ascii="Arial" w:cs="Arial" w:eastAsia="Arial" w:hAnsi="Arial"/>
                <w:sz w:val="18"/>
                <w:szCs w:val="18"/>
                <w:color w:val="auto"/>
              </w:rPr>
              <w:t>4.50%</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492,941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492,819</w:t>
            </w:r>
          </w:p>
        </w:tc>
        <w:tc>
          <w:tcPr>
            <w:tcW w:w="0" w:type="dxa"/>
            <w:vAlign w:val="bottom"/>
          </w:tcPr>
          <w:p>
            <w:pPr>
              <w:spacing w:after="0"/>
              <w:rPr>
                <w:sz w:val="1"/>
                <w:szCs w:val="1"/>
                <w:color w:val="auto"/>
              </w:rPr>
            </w:pPr>
          </w:p>
        </w:tc>
      </w:tr>
      <w:tr>
        <w:trPr>
          <w:trHeight w:val="270"/>
        </w:trPr>
        <w:tc>
          <w:tcPr>
            <w:tcW w:w="43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2100" w:type="dxa"/>
            <w:vAlign w:val="bottom"/>
            <w:shd w:val="clear" w:color="auto" w:fill="CCEEFF"/>
          </w:tcPr>
          <w:p>
            <w:pPr>
              <w:jc w:val="right"/>
              <w:ind w:right="91"/>
              <w:spacing w:after="0"/>
              <w:rPr>
                <w:sz w:val="20"/>
                <w:szCs w:val="20"/>
                <w:color w:val="auto"/>
              </w:rPr>
            </w:pPr>
            <w:r>
              <w:rPr>
                <w:rFonts w:ascii="Arial" w:cs="Arial" w:eastAsia="Arial" w:hAnsi="Arial"/>
                <w:sz w:val="16"/>
                <w:szCs w:val="16"/>
                <w:color w:val="auto"/>
              </w:rPr>
              <w:t>LIBOR + 1.125%</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103,988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Bank overdrafts and other</w:t>
            </w:r>
          </w:p>
        </w:tc>
        <w:tc>
          <w:tcPr>
            <w:tcW w:w="2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4,590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7,993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2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1,723,689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1,639,152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Less: Short term borrowings</w:t>
            </w:r>
            <w:r>
              <w:rPr>
                <w:rFonts w:ascii="Arial" w:cs="Arial" w:eastAsia="Arial" w:hAnsi="Arial"/>
                <w:sz w:val="25"/>
                <w:szCs w:val="25"/>
                <w:color w:val="auto"/>
                <w:vertAlign w:val="superscript"/>
              </w:rPr>
              <w:t>(3)</w:t>
            </w:r>
          </w:p>
        </w:tc>
        <w:tc>
          <w:tcPr>
            <w:tcW w:w="2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1,717,189</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1,632,186</w:t>
            </w:r>
          </w:p>
        </w:tc>
        <w:tc>
          <w:tcPr>
            <w:tcW w:w="0" w:type="dxa"/>
            <w:vAlign w:val="bottom"/>
          </w:tcPr>
          <w:p>
            <w:pPr>
              <w:spacing w:after="0"/>
              <w:rPr>
                <w:sz w:val="1"/>
                <w:szCs w:val="1"/>
                <w:color w:val="auto"/>
              </w:rPr>
            </w:pPr>
          </w:p>
        </w:tc>
      </w:tr>
      <w:tr>
        <w:trPr>
          <w:trHeight w:val="27"/>
        </w:trPr>
        <w:tc>
          <w:tcPr>
            <w:tcW w:w="43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2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00" w:type="dxa"/>
            <w:vAlign w:val="bottom"/>
            <w:gridSpan w:val="3"/>
            <w:vMerge w:val="continu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gridSpan w:val="3"/>
            <w:vMerge w:val="continue"/>
          </w:tcPr>
          <w:p>
            <w:pPr>
              <w:spacing w:after="0"/>
              <w:rPr>
                <w:sz w:val="17"/>
                <w:szCs w:val="17"/>
                <w:color w:val="auto"/>
              </w:rPr>
            </w:pPr>
          </w:p>
        </w:tc>
        <w:tc>
          <w:tcPr>
            <w:tcW w:w="2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8"/>
          <w:szCs w:val="18"/>
          <w:color w:val="auto"/>
        </w:rPr>
        <w:t>Amount is net of unamortized discount and debt issuance costs.</w:t>
      </w:r>
    </w:p>
    <w:p>
      <w:pPr>
        <w:spacing w:after="0" w:line="171"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8"/>
          <w:szCs w:val="18"/>
          <w:color w:val="auto"/>
        </w:rPr>
        <w:t>Represents the rate on drawn down and outstanding balances. Deferred debt issuance costs are immaterial.</w:t>
      </w:r>
    </w:p>
    <w:p>
      <w:pPr>
        <w:spacing w:after="0" w:line="171"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8"/>
          <w:szCs w:val="18"/>
          <w:color w:val="auto"/>
        </w:rPr>
        <w:t>Includes bank borrowings, commercial paper, overdrafts and current portion of long-term debt.</w:t>
      </w:r>
    </w:p>
    <w:p>
      <w:pPr>
        <w:spacing w:after="0" w:line="171" w:lineRule="exact"/>
        <w:rPr>
          <w:rFonts w:ascii="Arial" w:cs="Arial" w:eastAsia="Arial" w:hAnsi="Arial"/>
          <w:sz w:val="16"/>
          <w:szCs w:val="16"/>
          <w:color w:val="auto"/>
        </w:rPr>
      </w:pPr>
    </w:p>
    <w:p>
      <w:pPr>
        <w:jc w:val="both"/>
        <w:ind w:left="420" w:right="320" w:hanging="412"/>
        <w:spacing w:after="0" w:line="286" w:lineRule="auto"/>
        <w:tabs>
          <w:tab w:leader="none" w:pos="420" w:val="left"/>
        </w:tabs>
        <w:numPr>
          <w:ilvl w:val="0"/>
          <w:numId w:val="5"/>
        </w:numPr>
        <w:rPr>
          <w:rFonts w:ascii="Arial" w:cs="Arial" w:eastAsia="Arial" w:hAnsi="Arial"/>
          <w:sz w:val="15"/>
          <w:szCs w:val="15"/>
          <w:color w:val="auto"/>
        </w:rPr>
      </w:pPr>
      <w:r>
        <w:rPr>
          <w:rFonts w:ascii="Arial" w:cs="Arial" w:eastAsia="Arial" w:hAnsi="Arial"/>
          <w:sz w:val="17"/>
          <w:szCs w:val="17"/>
          <w:color w:val="auto"/>
        </w:rPr>
        <w:t>As discussed in Note 3 above, in connection with the pending acquisition of Frutarom and associated financing, the Company also expects to pay its outstanding $250 million of its Senior Notes 2007 and the associated make-whole payments of approximately $35 million. The amount outstanding continues to be reflected as long term given that the Company has not entered into a contractual commitment to repay.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71"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Commercial paper issued by the Company generally has terms of 90 days or less. As of June 30, 2018 and December 31, 2017, there was no commercial paper outstanding. The revolving credit facility is used as a backstop for the Company's commercial paper program. The maximum amount of commercial paper outstanding for the six months ended June 30, 2018 and 2017 was $85 million and $50 million,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of the Pending Acquisition of Frutarom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Bridge Loan Facility</w:t>
      </w:r>
    </w:p>
    <w:p>
      <w:pPr>
        <w:spacing w:after="0" w:line="347" w:lineRule="exact"/>
        <w:rPr>
          <w:sz w:val="20"/>
          <w:szCs w:val="20"/>
          <w:color w:val="auto"/>
        </w:rPr>
      </w:pPr>
    </w:p>
    <w:p>
      <w:pPr>
        <w:jc w:val="both"/>
        <w:ind w:right="80" w:firstLine="324"/>
        <w:spacing w:after="0" w:line="288" w:lineRule="auto"/>
        <w:rPr>
          <w:sz w:val="20"/>
          <w:szCs w:val="20"/>
          <w:color w:val="auto"/>
        </w:rPr>
      </w:pPr>
      <w:r>
        <w:rPr>
          <w:rFonts w:ascii="Arial" w:cs="Arial" w:eastAsia="Arial" w:hAnsi="Arial"/>
          <w:sz w:val="16"/>
          <w:szCs w:val="16"/>
          <w:color w:val="auto"/>
        </w:rPr>
        <w:t>In connection with entering into the merger agreement with Frutarom, the Company entered into a debt commitment letter for up to a $5.45 billion 364-day unsecured bridge loan facility to the extent the Company has not received $5.45 billion of net cash proceeds (and/or qualified bank commitments) from a combination of (a) the issuance by the Company of a combination of equity securities, equity-linked securities and/or unsecured debt securities and/or</w:t>
      </w:r>
    </w:p>
    <w:p>
      <w:pPr>
        <w:ind w:right="120" w:firstLine="8"/>
        <w:spacing w:after="0" w:line="253"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unsecured term loans, in each case, at or prior to completion of the acquisition. The bridge loan commitment will be reduced to the extent that the Company obtains certain other debt financing and completes certain equity issuances. On May 21, 2018, the Company, Morgan Stanley Senior Funding, Inc. and certain other financial institutions entered into a bridge joinder agreement to the commitment letter to provide for additional bridge commitment parties. In connection with the bridge loan commitment, the Company incurred $37.0 million of fees which are being amortized over the commitment period and are included in Interest expense in Consolidated Statement of Comprehensive Income.</w:t>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Term Facility</w:t>
      </w:r>
    </w:p>
    <w:p>
      <w:pPr>
        <w:spacing w:after="0" w:line="18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On June 6, 2018, the Company entered into a term loan credit agreement to replace a portion of the bridge loan facility, reducing the amount of the bridge loan commitments by $350 million. Under the term loan credit agreement, the lenders thereunder have committed to provide, subject to certain conditions, a senior unsecured term loan facility (as amended, "Term Facility") in an original aggregate principal amount of up to $350.0 million, maturing three years after the funding date thereunder. The debt is expected to be issued in the fourth quarter of 2018.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2" w:right="239" w:bottom="1440" w:gutter="0" w:footer="0" w:header="0"/>
        </w:sectPr>
      </w:pPr>
    </w:p>
    <w:bookmarkStart w:id="13" w:name="page14"/>
    <w:bookmarkEnd w:id="13"/>
    <w:p>
      <w:pPr>
        <w:ind w:right="20" w:firstLine="324"/>
        <w:spacing w:after="0" w:line="270" w:lineRule="auto"/>
        <w:rPr>
          <w:sz w:val="20"/>
          <w:szCs w:val="20"/>
          <w:color w:val="auto"/>
        </w:rPr>
      </w:pPr>
      <w:r>
        <w:rPr>
          <w:rFonts w:ascii="Arial" w:cs="Arial" w:eastAsia="Arial" w:hAnsi="Arial"/>
          <w:sz w:val="17"/>
          <w:szCs w:val="17"/>
          <w:color w:val="auto"/>
        </w:rPr>
        <w:t>The Term Facility will bear interest, at the Company’s option, at a per annum rate equal to either (x) an adjusted LIBOR rate plus an applicable margin varying from 0.75% to 2.00% or (y) a base rate plus an applicable margin varying from 0.00% to 1.00%, in each case depending on the public debt ratings for non-credit enhanced long-term senior unsecured debt issued by the Company. Loans under the Term Facility will amortize quarterly at a per annum rate of 10.0% of the aggregate principal amount of the loans made under the Term Facility on the funding date, commencing at the end of the first full fiscal quarter after funding, with the balance payable on the third anniversary of the funding date. The Company may voluntarily prepay the term loans without premium or penalty. The term loan credit agreement contains various covenants, limitations and events of default customary for similar facilities for similarly rated borrowers, including a maximum ratio of net debt to EBITDA of 4.50x with step-downs over time and a temporary step-up to 6.0x for the first full fiscal quarter after funding if the Company has not issued equity or mandatory convertible securities generating gross proceeds of at least $1.75 billion on or before the closing date of the acquisition.</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Amended Credit Facility</w:t>
      </w:r>
    </w:p>
    <w:p>
      <w:pPr>
        <w:spacing w:after="0" w:line="18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May 21, 2018 and June 6, 2018, the Company and certain of its subsidiaries amended and restated the Company’s existing amended and restated credit agreement with Citibank, N.A., as administrative agent, last amended and restated on December 2, 2016 (as amended, the “Amended Credit Facility”) in connection with the pending acquisition of Frutarom, to, among other things (i) extend the maturity date of the Amended Credit Facility until December 2, 2023, (ii) increase the maximum ratio of net debt to EBITDA on and after the closing date of the acquisition and (iii) increase the drawn down capacity to $1.0 billion, consisting of a $585 million tranche A revolving credit facility (which provides for borrowings available in U.S. dollars, euros, Swiss francs, Japanese yen and/or British pounds sterling, with a sublimit of $25 million for swing line borrowings) (“Tranche A”) and a $415 million tranche B revolving credit facility (which provides for borrowings available in U.S. dollars, euros, Swiss francs, Japanese yen and/or British pounds sterling, with sublimits of €50 million and $25 million for swing line borrowings) (“Tranche B” and, together with Tranche A, the “Revolving Facility”). The interest rate on the Revolving Facility will be, at the applicable borrower’s option, a per annum rate equal to either (x) an adjusted LIBOR rate plus an applicable margin varying from 0.75% to 1.75% or (y) a base rate plus an applicable margin varying from 0.00% to 0.750%, in each case depending on the public debt ratings for non-credit enhanced long-term senior unsecured debt issued by the Company. Other terms and covenants under the Amended Credit Facility remain substantially unchanged.</w:t>
      </w:r>
    </w:p>
    <w:p>
      <w:pPr>
        <w:spacing w:after="0" w:line="13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connection with the Amended Credit Facility, the Company incurred $0.7 million of debt issuance costs. As of June 30, 2018, total availability under the Amended Credit Facility was $1.6 billion, with no outstanding borrowings.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 Reform</w:t>
      </w:r>
    </w:p>
    <w:p>
      <w:pPr>
        <w:spacing w:after="0" w:line="171"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In the fourth quarter of 2017, the Company recorded approximately $139.2 million in charges related to the impact of the Tax Act. Given the significant complexity of the Tax Act, anticipated guidance from the U.S. Treasury about implementing the Tax Act and the potential for additional guidance from the SEC or the FASB, the amount recorded by the Company in the fourth quarter of 2017 was provisional and will continue to be adjusted during 2018. The impact of the Tax Act is expected to be finalized no later than the fourth quarter of 2018. The aforementioned guidance and additional information regarding the Tax Act may also impact the Company's 2018 effective income tax rate, exclusive of any adjustment to the provisional charge. Any material revisions in our computations could adversely affect our cash flows and results of operations.</w:t>
      </w:r>
    </w:p>
    <w:p>
      <w:pPr>
        <w:spacing w:after="0" w:line="124"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During the first quarter of 2018, the Company recorded an additional charge of $0.6 million to adjust an accrual related to withholding taxes on planned repatriations.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 June 30, 2018, the Company had $30.6 million of unrecognized tax benefits recorded in Other liabilities and $1.2 million in Other current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these unrecognized tax benefits were recognized, the effective tax rate would be affected.</w:t>
      </w:r>
    </w:p>
    <w:p>
      <w:pPr>
        <w:spacing w:after="0" w:line="157"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At June 30, 2018, the Company had accrued interest and penalties of $2.5 million classified in Other liabilities and $0.1 million in Other current liabilities.</w:t>
      </w:r>
    </w:p>
    <w:p>
      <w:pPr>
        <w:spacing w:after="0" w:line="11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As of June 30, 2018, the Company’s aggregate provisions for uncertain tax positions, including interest and penalties, was$34.4 million associated with various tax positions asserted in various jurisdictions, none of which is individually material.</w:t>
      </w:r>
    </w:p>
    <w:p>
      <w:pPr>
        <w:spacing w:after="0" w:line="1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regularly repatriates a portion of current year earnings from select non–U.S. subsidiaries. No provision is made for additional withholding taxes on undistributed earnings of subsidiary companies that are intended and planned to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ind w:right="640"/>
        <w:spacing w:after="0" w:line="277" w:lineRule="auto"/>
        <w:rPr>
          <w:sz w:val="20"/>
          <w:szCs w:val="20"/>
          <w:color w:val="auto"/>
        </w:rPr>
      </w:pPr>
      <w:r>
        <w:rPr>
          <w:rFonts w:ascii="Arial" w:cs="Arial" w:eastAsia="Arial" w:hAnsi="Arial"/>
          <w:sz w:val="18"/>
          <w:szCs w:val="18"/>
          <w:color w:val="auto"/>
        </w:rPr>
        <w:t>indefinitely invested in such subsidiaries. We intend to, and have plans to, reinvest these earnings indefinitely in our foreign subsidiaries to fund local operations and/or capital projects.</w:t>
      </w:r>
    </w:p>
    <w:p>
      <w:pPr>
        <w:spacing w:after="0" w:line="116"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In addition, the Company has open tax years with various taxing jurisdictions that range primarily from 2008 to 2017. Based on currently available information, we do not believe the ultimate outcome of any of these tax audits and other tax positions related to open tax years, when finalized, will have a material impact on our financial position.</w:t>
      </w:r>
    </w:p>
    <w:p>
      <w:pPr>
        <w:spacing w:after="0" w:line="133"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Company also has other ongoing tax audits and legal proceedings that relate to indirect taxes, such as value-added taxes, sales and use taxes and property taxes, which are discussed in Note 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 effective tax rate for the three months ended June 30, 2018 was 18.7% compared with 22.7% for the three months ended June 30, 2017. The quarter-over-quarter decrease was largely due to a more favorable mix of earnings, a lower cost of repatriation and the re-measurement of loss provisions, partially offset by the impact from U.S. tax reform and other items (including the impact of current year transactions costs and certain non-taxable gains on foreign currency in prior year).</w:t>
      </w:r>
    </w:p>
    <w:p>
      <w:pPr>
        <w:spacing w:after="0" w:line="13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effective tax rate for the six months ended June 30, 2018 was 18.6% compared with 19.6% for the six months ended June 30, 2017. The year-over-year decrease was largely due to a more favorable mix of earnings, a lower cost of repatriation, the re-measurement of loss provisions and the release of a State valuation allowance related to prior years, partially offset by the impact of U.S. tax reform and other items (including the impact of current year transaction costs and certain non-taxable gains on foreign currency in prior year).</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STOCK COMPENSATION PLANS</w:t>
      </w:r>
    </w:p>
    <w:p>
      <w:pPr>
        <w:spacing w:after="0" w:line="17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Company has various plans under which its officers, senior management, other key employees and directors may be granted equity-based awards. Equity awards outstanding under the plans include PRSUs, restricted stock units (RSUs), SSARs and Long-Term Incentive Plan awards. Liability-based awards outstanding under the plans are cash-settled RSUs.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expense and related tax benefits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12,893</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Liability-based awards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3,051</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15,944</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Less: Tax benefit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(4,549)</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 after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175"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The Company is organized into two operating segments: Flavors and Fragrances. These segments align with the internal structure of the Company used to manage these businesses. Performance of these operating segments is evaluated based on segment profit which is defined as operating profit before Restructuring and other charges, net; Global expenses and certain non-recurring items; Interest expense; Other income (expense), net; and Taxes on income.</w:t>
      </w:r>
    </w:p>
    <w:p>
      <w:pPr>
        <w:spacing w:after="0" w:line="93"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The Global expenses caption below represents corporate and headquarters-related expenses which include legal, finance, human resources, certain incentive compensation expenses and other R&amp;D and administrative expenses that are not allocated to individual operating segments.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200" w:type="dxa"/>
            <w:vAlign w:val="bottom"/>
            <w:gridSpan w:val="2"/>
          </w:tcPr>
          <w:p>
            <w:pPr>
              <w:ind w:left="380"/>
              <w:spacing w:after="0"/>
              <w:rPr>
                <w:sz w:val="20"/>
                <w:szCs w:val="20"/>
                <w:color w:val="auto"/>
              </w:rPr>
            </w:pPr>
            <w:r>
              <w:rPr>
                <w:rFonts w:ascii="Arial" w:cs="Arial" w:eastAsia="Arial" w:hAnsi="Arial"/>
                <w:sz w:val="18"/>
                <w:szCs w:val="18"/>
                <w:color w:val="auto"/>
              </w:rPr>
              <w:t>Reportable segment information is as follows:</w:t>
            </w: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4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80" w:type="dxa"/>
            <w:vAlign w:val="bottom"/>
            <w:gridSpan w:val="4"/>
          </w:tcPr>
          <w:p>
            <w:pPr>
              <w:ind w:left="740"/>
              <w:spacing w:after="0"/>
              <w:rPr>
                <w:sz w:val="20"/>
                <w:szCs w:val="20"/>
                <w:color w:val="auto"/>
              </w:rPr>
            </w:pPr>
            <w:r>
              <w:rPr>
                <w:rFonts w:ascii="Arial" w:cs="Arial" w:eastAsia="Arial" w:hAnsi="Arial"/>
                <w:sz w:val="18"/>
                <w:szCs w:val="18"/>
                <w:b w:val="1"/>
                <w:bCs w:val="1"/>
                <w:color w:val="auto"/>
                <w:w w:val="90"/>
              </w:rPr>
              <w:t>Three Months Ended June 30,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42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120" w:type="dxa"/>
            <w:vAlign w:val="bottom"/>
          </w:tcPr>
          <w:p>
            <w:pPr>
              <w:ind w:left="740"/>
              <w:spacing w:after="0"/>
              <w:rPr>
                <w:sz w:val="20"/>
                <w:szCs w:val="20"/>
                <w:color w:val="auto"/>
              </w:rPr>
            </w:pPr>
            <w:r>
              <w:rPr>
                <w:rFonts w:ascii="Arial" w:cs="Arial" w:eastAsia="Arial" w:hAnsi="Arial"/>
                <w:sz w:val="18"/>
                <w:szCs w:val="18"/>
                <w:b w:val="1"/>
                <w:bCs w:val="1"/>
                <w:color w:val="auto"/>
                <w:w w:val="89"/>
              </w:rPr>
              <w:t>2018</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Flavors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450,540</w:t>
            </w:r>
          </w:p>
        </w:tc>
        <w:tc>
          <w:tcPr>
            <w:tcW w:w="12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414,323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899,559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820,487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Fragrances</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469,476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428,538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951,385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850,667</w:t>
            </w: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Consolidated</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920,016</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842,861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1,850,944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1,671,154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profit:</w:t>
      </w:r>
    </w:p>
    <w:p>
      <w:pPr>
        <w:sectPr>
          <w:pgSz w:w="11900" w:h="16838" w:orient="portrait"/>
          <w:cols w:equalWidth="0" w:num="1">
            <w:col w:w="11420"/>
          </w:cols>
          <w:pgMar w:left="240" w:top="746" w:right="239" w:bottom="1440" w:gutter="0" w:footer="0" w:header="0"/>
        </w:sectPr>
      </w:pP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200" w:type="dxa"/>
            <w:vAlign w:val="bottom"/>
          </w:tcPr>
          <w:p>
            <w:pPr>
              <w:ind w:left="340"/>
              <w:spacing w:after="0"/>
              <w:rPr>
                <w:sz w:val="20"/>
                <w:szCs w:val="20"/>
                <w:color w:val="auto"/>
              </w:rPr>
            </w:pPr>
            <w:r>
              <w:rPr>
                <w:rFonts w:ascii="Arial" w:cs="Arial" w:eastAsia="Arial" w:hAnsi="Arial"/>
                <w:sz w:val="18"/>
                <w:szCs w:val="18"/>
                <w:color w:val="auto"/>
              </w:rPr>
              <w:t>Flavors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109,605</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96,840</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221,169</w:t>
            </w:r>
          </w:p>
        </w:tc>
        <w:tc>
          <w:tcPr>
            <w:tcW w:w="0" w:type="dxa"/>
            <w:vAlign w:val="bottom"/>
          </w:tcPr>
          <w:p>
            <w:pPr>
              <w:spacing w:after="0"/>
              <w:rPr>
                <w:sz w:val="1"/>
                <w:szCs w:val="1"/>
                <w:color w:val="auto"/>
              </w:rPr>
            </w:pPr>
          </w:p>
        </w:tc>
      </w:tr>
      <w:tr>
        <w:trPr>
          <w:trHeight w:val="270"/>
        </w:trPr>
        <w:tc>
          <w:tcPr>
            <w:tcW w:w="4200" w:type="dxa"/>
            <w:vAlign w:val="bottom"/>
          </w:tcPr>
          <w:p>
            <w:pPr>
              <w:ind w:left="340"/>
              <w:spacing w:after="0"/>
              <w:rPr>
                <w:sz w:val="20"/>
                <w:szCs w:val="20"/>
                <w:color w:val="auto"/>
              </w:rPr>
            </w:pPr>
            <w:r>
              <w:rPr>
                <w:rFonts w:ascii="Arial" w:cs="Arial" w:eastAsia="Arial" w:hAnsi="Arial"/>
                <w:sz w:val="18"/>
                <w:szCs w:val="18"/>
                <w:color w:val="auto"/>
              </w:rPr>
              <w:t>Fragrances</w:t>
            </w:r>
          </w:p>
        </w:tc>
        <w:tc>
          <w:tcPr>
            <w:tcW w:w="6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80,780</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80,993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174,056</w:t>
            </w:r>
          </w:p>
        </w:tc>
        <w:tc>
          <w:tcPr>
            <w:tcW w:w="0" w:type="dxa"/>
            <w:vAlign w:val="bottom"/>
          </w:tcPr>
          <w:p>
            <w:pPr>
              <w:spacing w:after="0"/>
              <w:rPr>
                <w:sz w:val="1"/>
                <w:szCs w:val="1"/>
                <w:color w:val="auto"/>
              </w:rPr>
            </w:pPr>
          </w:p>
        </w:tc>
      </w:tr>
      <w:tr>
        <w:trPr>
          <w:trHeight w:val="270"/>
        </w:trPr>
        <w:tc>
          <w:tcPr>
            <w:tcW w:w="4200" w:type="dxa"/>
            <w:vAlign w:val="bottom"/>
          </w:tcPr>
          <w:p>
            <w:pPr>
              <w:ind w:left="340"/>
              <w:spacing w:after="0"/>
              <w:rPr>
                <w:sz w:val="20"/>
                <w:szCs w:val="20"/>
                <w:color w:val="auto"/>
              </w:rPr>
            </w:pPr>
            <w:r>
              <w:rPr>
                <w:rFonts w:ascii="Arial" w:cs="Arial" w:eastAsia="Arial" w:hAnsi="Arial"/>
                <w:sz w:val="18"/>
                <w:szCs w:val="18"/>
                <w:color w:val="auto"/>
              </w:rPr>
              <w:t>Global expenses</w:t>
            </w:r>
          </w:p>
        </w:tc>
        <w:tc>
          <w:tcPr>
            <w:tcW w:w="6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(20,572)</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(13,488)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(44,398)</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Operational Improvement Initiatives (a)</w:t>
            </w:r>
          </w:p>
        </w:tc>
        <w:tc>
          <w:tcPr>
            <w:tcW w:w="6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Acquisition Related Costs (b)</w:t>
            </w:r>
          </w:p>
        </w:tc>
        <w:tc>
          <w:tcPr>
            <w:tcW w:w="6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Integration Related Costs (c)</w:t>
            </w:r>
          </w:p>
        </w:tc>
        <w:tc>
          <w:tcPr>
            <w:tcW w:w="6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Legal Charges/Credits, net (d)</w:t>
            </w:r>
          </w:p>
        </w:tc>
        <w:tc>
          <w:tcPr>
            <w:tcW w:w="6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Tax Assessment (e)</w:t>
            </w:r>
          </w:p>
        </w:tc>
        <w:tc>
          <w:tcPr>
            <w:tcW w:w="6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Restructuring and Other Charges, net (f)</w:t>
            </w:r>
          </w:p>
        </w:tc>
        <w:tc>
          <w:tcPr>
            <w:tcW w:w="6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(Losses) Gains on Sale of Assets</w:t>
            </w:r>
          </w:p>
        </w:tc>
        <w:tc>
          <w:tcPr>
            <w:tcW w:w="6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FDA Mandated Product Recall (g)</w:t>
            </w:r>
          </w:p>
        </w:tc>
        <w:tc>
          <w:tcPr>
            <w:tcW w:w="6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Frutarom Acquisition Related Costs (h)</w:t>
            </w:r>
          </w:p>
        </w:tc>
        <w:tc>
          <w:tcPr>
            <w:tcW w:w="6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(12,455)</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7"/>
        </w:trPr>
        <w:tc>
          <w:tcPr>
            <w:tcW w:w="4200" w:type="dxa"/>
            <w:vAlign w:val="bottom"/>
            <w:vMerge w:val="restart"/>
          </w:tcPr>
          <w:p>
            <w:pPr>
              <w:spacing w:after="0"/>
              <w:rPr>
                <w:sz w:val="20"/>
                <w:szCs w:val="20"/>
                <w:color w:val="auto"/>
              </w:rPr>
            </w:pPr>
            <w:r>
              <w:rPr>
                <w:rFonts w:ascii="Arial" w:cs="Arial" w:eastAsia="Arial" w:hAnsi="Arial"/>
                <w:sz w:val="18"/>
                <w:szCs w:val="18"/>
                <w:color w:val="auto"/>
              </w:rPr>
              <w:t>Operating profit</w:t>
            </w: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154,509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151,687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329,363</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(53,246)</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(17,556)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(69,841)</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20,655</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21,232</w:t>
            </w:r>
          </w:p>
        </w:tc>
        <w:tc>
          <w:tcPr>
            <w:tcW w:w="0" w:type="dxa"/>
            <w:vAlign w:val="bottom"/>
          </w:tcPr>
          <w:p>
            <w:pPr>
              <w:spacing w:after="0"/>
              <w:rPr>
                <w:sz w:val="1"/>
                <w:szCs w:val="1"/>
                <w:color w:val="auto"/>
              </w:rPr>
            </w:pPr>
          </w:p>
        </w:tc>
      </w:tr>
      <w:tr>
        <w:trPr>
          <w:trHeight w:val="27"/>
        </w:trPr>
        <w:tc>
          <w:tcPr>
            <w:tcW w:w="4200" w:type="dxa"/>
            <w:vAlign w:val="bottom"/>
            <w:vMerge w:val="restart"/>
          </w:tcPr>
          <w:p>
            <w:pPr>
              <w:spacing w:after="0"/>
              <w:rPr>
                <w:sz w:val="20"/>
                <w:szCs w:val="20"/>
                <w:color w:val="auto"/>
              </w:rPr>
            </w:pPr>
            <w:r>
              <w:rPr>
                <w:rFonts w:ascii="Arial" w:cs="Arial" w:eastAsia="Arial" w:hAnsi="Arial"/>
                <w:sz w:val="18"/>
                <w:szCs w:val="18"/>
                <w:color w:val="auto"/>
              </w:rPr>
              <w:t>Income before taxes</w:t>
            </w: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vMerge w:val="continue"/>
          </w:tcPr>
          <w:p>
            <w:pPr>
              <w:spacing w:after="0"/>
              <w:rPr>
                <w:sz w:val="20"/>
                <w:szCs w:val="20"/>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121,918</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142,040</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280,754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-2614930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-2272030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-1929130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28" w:lineRule="exact"/>
        <w:rPr>
          <w:sz w:val="20"/>
          <w:szCs w:val="20"/>
          <w:color w:val="auto"/>
        </w:rPr>
      </w:pPr>
    </w:p>
    <w:p>
      <w:pPr>
        <w:ind w:left="380" w:right="1060" w:hanging="303"/>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2018, represents accelerated depreciation related to a plant relocation in India. For 2017, represents accelerated depreciation and idle labor costs in Hangzhou, China.</w:t>
      </w:r>
    </w:p>
    <w:p>
      <w:pPr>
        <w:spacing w:after="0" w:line="8" w:lineRule="exact"/>
        <w:rPr>
          <w:rFonts w:ascii="Arial" w:cs="Arial" w:eastAsia="Arial" w:hAnsi="Arial"/>
          <w:sz w:val="18"/>
          <w:szCs w:val="18"/>
          <w:color w:val="auto"/>
        </w:rPr>
      </w:pPr>
    </w:p>
    <w:p>
      <w:pPr>
        <w:ind w:left="380" w:right="600" w:hanging="308"/>
        <w:spacing w:after="0" w:line="25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2018, represents adjustments to the contingent consideration payable for PowderPure, and transaction costs related to Fragrance Resources and PowderPure within Selling and administrative expenses. For 2017, represents the amortization of inventory "step-up" related to the acquisitions of David Michael, Fragrance Resources and PowderPure, included in cost of goods sold and transaction costs related to the acquisitions of David Michael, Fragrance Resources and PowderPure, included in Selling and administrative expenses.</w:t>
      </w:r>
    </w:p>
    <w:p>
      <w:pPr>
        <w:spacing w:after="0" w:line="26" w:lineRule="exact"/>
        <w:rPr>
          <w:rFonts w:ascii="Arial" w:cs="Arial" w:eastAsia="Arial" w:hAnsi="Arial"/>
          <w:sz w:val="18"/>
          <w:szCs w:val="18"/>
          <w:color w:val="auto"/>
        </w:rPr>
      </w:pPr>
    </w:p>
    <w:p>
      <w:pPr>
        <w:ind w:left="380" w:right="560" w:hanging="303"/>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2018, represents costs related to the integration of David Michael. For 2017, represents costs related to the integration of David Michael and Fragrance Resources acquisitions.</w:t>
      </w:r>
    </w:p>
    <w:p>
      <w:pPr>
        <w:spacing w:after="0" w:line="8" w:lineRule="exact"/>
        <w:rPr>
          <w:rFonts w:ascii="Arial" w:cs="Arial" w:eastAsia="Arial" w:hAnsi="Arial"/>
          <w:sz w:val="18"/>
          <w:szCs w:val="18"/>
          <w:color w:val="auto"/>
        </w:rPr>
      </w:pPr>
    </w:p>
    <w:p>
      <w:pPr>
        <w:ind w:left="380" w:hanging="308"/>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additional charge related to litigation settlement.</w:t>
      </w:r>
    </w:p>
    <w:p>
      <w:pPr>
        <w:spacing w:after="0" w:line="63" w:lineRule="exact"/>
        <w:rPr>
          <w:rFonts w:ascii="Arial" w:cs="Arial" w:eastAsia="Arial" w:hAnsi="Arial"/>
          <w:sz w:val="18"/>
          <w:szCs w:val="18"/>
          <w:color w:val="auto"/>
        </w:rPr>
      </w:pPr>
    </w:p>
    <w:p>
      <w:pPr>
        <w:ind w:left="380" w:hanging="303"/>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reserve for payment of a tax assessment related to commercial rent for prior periods.</w:t>
      </w:r>
    </w:p>
    <w:p>
      <w:pPr>
        <w:spacing w:after="0" w:line="63" w:lineRule="exact"/>
        <w:rPr>
          <w:rFonts w:ascii="Arial" w:cs="Arial" w:eastAsia="Arial" w:hAnsi="Arial"/>
          <w:sz w:val="18"/>
          <w:szCs w:val="18"/>
          <w:color w:val="auto"/>
        </w:rPr>
      </w:pPr>
    </w:p>
    <w:p>
      <w:pPr>
        <w:ind w:left="380" w:hanging="293"/>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severance costs related to the 2017 Productivity Program and Taiwan lab closure.</w:t>
      </w:r>
    </w:p>
    <w:p>
      <w:pPr>
        <w:spacing w:after="0" w:line="63" w:lineRule="exact"/>
        <w:rPr>
          <w:rFonts w:ascii="Arial" w:cs="Arial" w:eastAsia="Arial" w:hAnsi="Arial"/>
          <w:sz w:val="18"/>
          <w:szCs w:val="18"/>
          <w:color w:val="auto"/>
        </w:rPr>
      </w:pPr>
    </w:p>
    <w:p>
      <w:pPr>
        <w:ind w:left="380" w:hanging="271"/>
        <w:spacing w:after="0"/>
        <w:tabs>
          <w:tab w:leader="none" w:pos="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Represents management's best estimate of losses related to the previously disclosed FDA mandated recall.</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(h) Represents transaction-related costs and expenses related to the pending acquisition of Frutarom.</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sales are attributed to individual regions based upon the destination of product delivery are as follows: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867" w:hanging="867"/>
        <w:spacing w:after="0"/>
        <w:tabs>
          <w:tab w:leader="none" w:pos="867" w:val="left"/>
        </w:tabs>
        <w:numPr>
          <w:ilvl w:val="0"/>
          <w:numId w:val="8"/>
        </w:numPr>
        <w:rPr>
          <w:rFonts w:ascii="Arial" w:cs="Arial" w:eastAsia="Arial" w:hAnsi="Arial"/>
          <w:sz w:val="18"/>
          <w:szCs w:val="18"/>
          <w:color w:val="auto"/>
        </w:rPr>
      </w:pPr>
      <w:r>
        <w:rPr>
          <w:rFonts w:ascii="Arial" w:cs="Arial" w:eastAsia="Arial" w:hAnsi="Arial"/>
          <w:sz w:val="18"/>
          <w:szCs w:val="18"/>
          <w:color w:val="auto"/>
        </w:rPr>
        <w:t>191,395</w:t>
      </w:r>
    </w:p>
    <w:p>
      <w:pPr>
        <w:spacing w:after="0" w:line="63" w:lineRule="exact"/>
        <w:rPr>
          <w:rFonts w:ascii="Arial" w:cs="Arial" w:eastAsia="Arial" w:hAnsi="Arial"/>
          <w:sz w:val="18"/>
          <w:szCs w:val="18"/>
          <w:color w:val="auto"/>
        </w:rPr>
      </w:pPr>
    </w:p>
    <w:p>
      <w:pPr>
        <w:ind w:left="867"/>
        <w:spacing w:after="0"/>
        <w:rPr>
          <w:rFonts w:ascii="Arial" w:cs="Arial" w:eastAsia="Arial" w:hAnsi="Arial"/>
          <w:sz w:val="18"/>
          <w:szCs w:val="18"/>
          <w:color w:val="auto"/>
        </w:rPr>
      </w:pPr>
      <w:r>
        <w:rPr>
          <w:rFonts w:ascii="Arial" w:cs="Arial" w:eastAsia="Arial" w:hAnsi="Arial"/>
          <w:sz w:val="18"/>
          <w:szCs w:val="18"/>
          <w:color w:val="auto"/>
        </w:rPr>
        <w:t>158,867</w:t>
      </w:r>
    </w:p>
    <w:p>
      <w:pPr>
        <w:spacing w:after="0" w:line="63" w:lineRule="exact"/>
        <w:rPr>
          <w:rFonts w:ascii="Arial" w:cs="Arial" w:eastAsia="Arial" w:hAnsi="Arial"/>
          <w:sz w:val="18"/>
          <w:szCs w:val="18"/>
          <w:color w:val="auto"/>
        </w:rPr>
      </w:pPr>
    </w:p>
    <w:p>
      <w:pPr>
        <w:ind w:left="907"/>
        <w:spacing w:after="0"/>
        <w:rPr>
          <w:rFonts w:ascii="Arial" w:cs="Arial" w:eastAsia="Arial" w:hAnsi="Arial"/>
          <w:sz w:val="18"/>
          <w:szCs w:val="18"/>
          <w:color w:val="auto"/>
        </w:rPr>
      </w:pPr>
      <w:r>
        <w:rPr>
          <w:rFonts w:ascii="Arial" w:cs="Arial" w:eastAsia="Arial" w:hAnsi="Arial"/>
          <w:sz w:val="16"/>
          <w:szCs w:val="16"/>
          <w:color w:val="auto"/>
        </w:rPr>
        <w:t>(29,781)</w:t>
      </w:r>
    </w:p>
    <w:p>
      <w:pPr>
        <w:spacing w:after="0" w:line="86" w:lineRule="exact"/>
        <w:rPr>
          <w:rFonts w:ascii="Arial" w:cs="Arial" w:eastAsia="Arial" w:hAnsi="Arial"/>
          <w:sz w:val="18"/>
          <w:szCs w:val="18"/>
          <w:color w:val="auto"/>
        </w:rPr>
      </w:pPr>
    </w:p>
    <w:p>
      <w:pPr>
        <w:ind w:left="987"/>
        <w:spacing w:after="0"/>
        <w:rPr>
          <w:rFonts w:ascii="Arial" w:cs="Arial" w:eastAsia="Arial" w:hAnsi="Arial"/>
          <w:sz w:val="18"/>
          <w:szCs w:val="18"/>
          <w:color w:val="auto"/>
        </w:rPr>
      </w:pPr>
      <w:r>
        <w:rPr>
          <w:rFonts w:ascii="Arial" w:cs="Arial" w:eastAsia="Arial" w:hAnsi="Arial"/>
          <w:sz w:val="17"/>
          <w:szCs w:val="17"/>
          <w:color w:val="auto"/>
        </w:rPr>
        <w:t>(1,066)</w:t>
      </w:r>
    </w:p>
    <w:p>
      <w:pPr>
        <w:spacing w:after="0" w:line="74" w:lineRule="exact"/>
        <w:rPr>
          <w:rFonts w:ascii="Arial" w:cs="Arial" w:eastAsia="Arial" w:hAnsi="Arial"/>
          <w:sz w:val="18"/>
          <w:szCs w:val="18"/>
          <w:color w:val="auto"/>
        </w:rPr>
      </w:pPr>
    </w:p>
    <w:p>
      <w:pPr>
        <w:ind w:left="907"/>
        <w:spacing w:after="0"/>
        <w:rPr>
          <w:rFonts w:ascii="Arial" w:cs="Arial" w:eastAsia="Arial" w:hAnsi="Arial"/>
          <w:sz w:val="18"/>
          <w:szCs w:val="18"/>
          <w:color w:val="auto"/>
        </w:rPr>
      </w:pPr>
      <w:r>
        <w:rPr>
          <w:rFonts w:ascii="Arial" w:cs="Arial" w:eastAsia="Arial" w:hAnsi="Arial"/>
          <w:sz w:val="16"/>
          <w:szCs w:val="16"/>
          <w:color w:val="auto"/>
        </w:rPr>
        <w:t>(15,066)</w:t>
      </w:r>
    </w:p>
    <w:p>
      <w:pPr>
        <w:spacing w:after="0" w:line="86" w:lineRule="exact"/>
        <w:rPr>
          <w:rFonts w:ascii="Arial" w:cs="Arial" w:eastAsia="Arial" w:hAnsi="Arial"/>
          <w:sz w:val="18"/>
          <w:szCs w:val="18"/>
          <w:color w:val="auto"/>
        </w:rPr>
      </w:pPr>
    </w:p>
    <w:p>
      <w:pPr>
        <w:ind w:left="987"/>
        <w:spacing w:after="0"/>
        <w:rPr>
          <w:rFonts w:ascii="Arial" w:cs="Arial" w:eastAsia="Arial" w:hAnsi="Arial"/>
          <w:sz w:val="18"/>
          <w:szCs w:val="18"/>
          <w:color w:val="auto"/>
        </w:rPr>
      </w:pPr>
      <w:r>
        <w:rPr>
          <w:rFonts w:ascii="Arial" w:cs="Arial" w:eastAsia="Arial" w:hAnsi="Arial"/>
          <w:sz w:val="17"/>
          <w:szCs w:val="17"/>
          <w:color w:val="auto"/>
        </w:rPr>
        <w:t>(1,923)</w:t>
      </w:r>
    </w:p>
    <w:p>
      <w:pPr>
        <w:spacing w:after="0" w:line="74" w:lineRule="exact"/>
        <w:rPr>
          <w:rFonts w:ascii="Arial" w:cs="Arial" w:eastAsia="Arial" w:hAnsi="Arial"/>
          <w:sz w:val="18"/>
          <w:szCs w:val="18"/>
          <w:color w:val="auto"/>
        </w:rPr>
      </w:pPr>
    </w:p>
    <w:p>
      <w:pPr>
        <w:ind w:left="987"/>
        <w:spacing w:after="0"/>
        <w:rPr>
          <w:rFonts w:ascii="Arial" w:cs="Arial" w:eastAsia="Arial" w:hAnsi="Arial"/>
          <w:sz w:val="18"/>
          <w:szCs w:val="18"/>
          <w:color w:val="auto"/>
        </w:rPr>
      </w:pPr>
      <w:r>
        <w:rPr>
          <w:rFonts w:ascii="Arial" w:cs="Arial" w:eastAsia="Arial" w:hAnsi="Arial"/>
          <w:sz w:val="17"/>
          <w:szCs w:val="17"/>
          <w:color w:val="auto"/>
        </w:rPr>
        <w:t>(1,000)</w:t>
      </w:r>
    </w:p>
    <w:p>
      <w:pPr>
        <w:spacing w:after="0" w:line="74" w:lineRule="exact"/>
        <w:rPr>
          <w:rFonts w:ascii="Arial" w:cs="Arial" w:eastAsia="Arial" w:hAnsi="Arial"/>
          <w:sz w:val="18"/>
          <w:szCs w:val="18"/>
          <w:color w:val="auto"/>
        </w:rPr>
      </w:pPr>
    </w:p>
    <w:p>
      <w:pPr>
        <w:ind w:left="987"/>
        <w:spacing w:after="0"/>
        <w:rPr>
          <w:rFonts w:ascii="Arial" w:cs="Arial" w:eastAsia="Arial" w:hAnsi="Arial"/>
          <w:sz w:val="18"/>
          <w:szCs w:val="18"/>
          <w:color w:val="auto"/>
        </w:rPr>
      </w:pPr>
      <w:r>
        <w:rPr>
          <w:rFonts w:ascii="Arial" w:cs="Arial" w:eastAsia="Arial" w:hAnsi="Arial"/>
          <w:sz w:val="17"/>
          <w:szCs w:val="17"/>
          <w:color w:val="auto"/>
        </w:rPr>
        <w:t>(5,331)</w:t>
      </w:r>
    </w:p>
    <w:p>
      <w:pPr>
        <w:spacing w:after="0" w:line="74" w:lineRule="exact"/>
        <w:rPr>
          <w:rFonts w:ascii="Arial" w:cs="Arial" w:eastAsia="Arial" w:hAnsi="Arial"/>
          <w:sz w:val="18"/>
          <w:szCs w:val="18"/>
          <w:color w:val="auto"/>
        </w:rPr>
      </w:pPr>
    </w:p>
    <w:p>
      <w:pPr>
        <w:ind w:left="907"/>
        <w:spacing w:after="0"/>
        <w:rPr>
          <w:rFonts w:ascii="Arial" w:cs="Arial" w:eastAsia="Arial" w:hAnsi="Arial"/>
          <w:sz w:val="18"/>
          <w:szCs w:val="18"/>
          <w:color w:val="auto"/>
        </w:rPr>
      </w:pPr>
      <w:r>
        <w:rPr>
          <w:rFonts w:ascii="Arial" w:cs="Arial" w:eastAsia="Arial" w:hAnsi="Arial"/>
          <w:sz w:val="16"/>
          <w:szCs w:val="16"/>
          <w:color w:val="auto"/>
        </w:rPr>
        <w:t>(10,934)</w:t>
      </w:r>
    </w:p>
    <w:p>
      <w:pPr>
        <w:spacing w:after="0" w:line="86" w:lineRule="exact"/>
        <w:rPr>
          <w:rFonts w:ascii="Arial" w:cs="Arial" w:eastAsia="Arial" w:hAnsi="Arial"/>
          <w:sz w:val="18"/>
          <w:szCs w:val="18"/>
          <w:color w:val="auto"/>
        </w:rPr>
      </w:pPr>
    </w:p>
    <w:p>
      <w:pPr>
        <w:ind w:left="1287"/>
        <w:spacing w:after="0"/>
        <w:rPr>
          <w:rFonts w:ascii="Arial" w:cs="Arial" w:eastAsia="Arial" w:hAnsi="Arial"/>
          <w:sz w:val="18"/>
          <w:szCs w:val="18"/>
          <w:color w:val="auto"/>
        </w:rPr>
      </w:pPr>
      <w:r>
        <w:rPr>
          <w:rFonts w:ascii="Arial" w:cs="Arial" w:eastAsia="Arial" w:hAnsi="Arial"/>
          <w:sz w:val="18"/>
          <w:szCs w:val="18"/>
          <w:color w:val="auto"/>
        </w:rPr>
        <w:t>89</w:t>
      </w:r>
    </w:p>
    <w:p>
      <w:pPr>
        <w:spacing w:after="0" w:line="63" w:lineRule="exact"/>
        <w:rPr>
          <w:rFonts w:ascii="Arial" w:cs="Arial" w:eastAsia="Arial" w:hAnsi="Arial"/>
          <w:sz w:val="18"/>
          <w:szCs w:val="18"/>
          <w:color w:val="auto"/>
        </w:rPr>
      </w:pPr>
    </w:p>
    <w:p>
      <w:pPr>
        <w:ind w:left="987"/>
        <w:spacing w:after="0"/>
        <w:rPr>
          <w:rFonts w:ascii="Arial" w:cs="Arial" w:eastAsia="Arial" w:hAnsi="Arial"/>
          <w:sz w:val="18"/>
          <w:szCs w:val="18"/>
          <w:color w:val="auto"/>
        </w:rPr>
      </w:pPr>
      <w:r>
        <w:rPr>
          <w:rFonts w:ascii="Arial" w:cs="Arial" w:eastAsia="Arial" w:hAnsi="Arial"/>
          <w:sz w:val="17"/>
          <w:szCs w:val="17"/>
          <w:color w:val="auto"/>
        </w:rPr>
        <w:t>(3,500)</w:t>
      </w:r>
    </w:p>
    <w:p>
      <w:pPr>
        <w:spacing w:after="0" w:line="74" w:lineRule="exact"/>
        <w:rPr>
          <w:rFonts w:ascii="Arial" w:cs="Arial" w:eastAsia="Arial" w:hAnsi="Arial"/>
          <w:sz w:val="18"/>
          <w:szCs w:val="18"/>
          <w:color w:val="auto"/>
        </w:rPr>
      </w:pPr>
    </w:p>
    <w:p>
      <w:pPr>
        <w:ind w:left="128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67"/>
        <w:spacing w:after="0"/>
        <w:rPr>
          <w:rFonts w:ascii="Arial" w:cs="Arial" w:eastAsia="Arial" w:hAnsi="Arial"/>
          <w:sz w:val="18"/>
          <w:szCs w:val="18"/>
          <w:color w:val="auto"/>
        </w:rPr>
      </w:pPr>
      <w:r>
        <w:rPr>
          <w:rFonts w:ascii="Arial" w:cs="Arial" w:eastAsia="Arial" w:hAnsi="Arial"/>
          <w:sz w:val="18"/>
          <w:szCs w:val="18"/>
          <w:color w:val="auto"/>
        </w:rPr>
        <w:t>281,750</w:t>
      </w:r>
    </w:p>
    <w:p>
      <w:pPr>
        <w:spacing w:after="0" w:line="63" w:lineRule="exact"/>
        <w:rPr>
          <w:rFonts w:ascii="Arial" w:cs="Arial" w:eastAsia="Arial" w:hAnsi="Arial"/>
          <w:sz w:val="18"/>
          <w:szCs w:val="18"/>
          <w:color w:val="auto"/>
        </w:rPr>
      </w:pPr>
    </w:p>
    <w:p>
      <w:pPr>
        <w:ind w:left="907"/>
        <w:spacing w:after="0"/>
        <w:rPr>
          <w:rFonts w:ascii="Arial" w:cs="Arial" w:eastAsia="Arial" w:hAnsi="Arial"/>
          <w:sz w:val="18"/>
          <w:szCs w:val="18"/>
          <w:color w:val="auto"/>
        </w:rPr>
      </w:pPr>
      <w:r>
        <w:rPr>
          <w:rFonts w:ascii="Arial" w:cs="Arial" w:eastAsia="Arial" w:hAnsi="Arial"/>
          <w:sz w:val="16"/>
          <w:szCs w:val="16"/>
          <w:color w:val="auto"/>
        </w:rPr>
        <w:t>(30,363)</w:t>
      </w:r>
    </w:p>
    <w:p>
      <w:pPr>
        <w:spacing w:after="0" w:line="86" w:lineRule="exact"/>
        <w:rPr>
          <w:rFonts w:ascii="Arial" w:cs="Arial" w:eastAsia="Arial" w:hAnsi="Arial"/>
          <w:sz w:val="18"/>
          <w:szCs w:val="18"/>
          <w:color w:val="auto"/>
        </w:rPr>
      </w:pPr>
    </w:p>
    <w:p>
      <w:pPr>
        <w:ind w:left="967"/>
        <w:spacing w:after="0"/>
        <w:rPr>
          <w:rFonts w:ascii="Arial" w:cs="Arial" w:eastAsia="Arial" w:hAnsi="Arial"/>
          <w:sz w:val="18"/>
          <w:szCs w:val="18"/>
          <w:color w:val="auto"/>
        </w:rPr>
      </w:pPr>
      <w:r>
        <w:rPr>
          <w:rFonts w:ascii="Arial" w:cs="Arial" w:eastAsia="Arial" w:hAnsi="Arial"/>
          <w:sz w:val="18"/>
          <w:szCs w:val="18"/>
          <w:color w:val="auto"/>
        </w:rPr>
        <w:t>29,140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-490220</wp:posOffset>
            </wp:positionV>
            <wp:extent cx="10121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57" w:lineRule="exact"/>
        <w:rPr>
          <w:sz w:val="20"/>
          <w:szCs w:val="20"/>
          <w:color w:val="auto"/>
        </w:rPr>
      </w:pPr>
    </w:p>
    <w:p>
      <w:pPr>
        <w:ind w:left="867" w:hanging="867"/>
        <w:spacing w:after="0"/>
        <w:tabs>
          <w:tab w:leader="none" w:pos="867" w:val="left"/>
        </w:tabs>
        <w:numPr>
          <w:ilvl w:val="0"/>
          <w:numId w:val="9"/>
        </w:numPr>
        <w:rPr>
          <w:rFonts w:ascii="Arial" w:cs="Arial" w:eastAsia="Arial" w:hAnsi="Arial"/>
          <w:sz w:val="18"/>
          <w:szCs w:val="18"/>
          <w:color w:val="auto"/>
        </w:rPr>
      </w:pPr>
      <w:r>
        <w:rPr>
          <w:rFonts w:ascii="Arial" w:cs="Arial" w:eastAsia="Arial" w:hAnsi="Arial"/>
          <w:sz w:val="18"/>
          <w:szCs w:val="18"/>
          <w:color w:val="auto"/>
        </w:rPr>
        <w:t>280,527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10121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4238" w:lineRule="exact"/>
        <w:rPr>
          <w:sz w:val="20"/>
          <w:szCs w:val="20"/>
          <w:color w:val="auto"/>
        </w:rPr>
      </w:pPr>
    </w:p>
    <w:p>
      <w:pPr>
        <w:sectPr>
          <w:pgSz w:w="11900" w:h="16838" w:orient="portrait"/>
          <w:cols w:equalWidth="0" w:num="2">
            <w:col w:w="9720" w:space="133"/>
            <w:col w:w="1567"/>
          </w:cols>
          <w:pgMar w:left="240" w:top="746" w:right="239" w:bottom="1440" w:gutter="0" w:footer="0" w:header="0"/>
          <w:type w:val="continuous"/>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8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9"/>
                <w:szCs w:val="19"/>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85"/>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Net sales related to the U.S.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234,118</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243,815</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464,521</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449,325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 attributed to all foreign countries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685,898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599,046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1,386,423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1,221,829</w:t>
            </w: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country other than the U.S. had net sales in any period presented greater than 6% of total consolidated net sales.</w:t>
      </w:r>
    </w:p>
    <w:p>
      <w:pPr>
        <w:sectPr>
          <w:pgSz w:w="11900" w:h="16838" w:orient="portrait"/>
          <w:cols w:equalWidth="0" w:num="1">
            <w:col w:w="11420"/>
          </w:cols>
          <w:pgMar w:left="240" w:top="746"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46"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NOTE 10. EMPLOYEE BENEFITS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gridSpan w:val="9"/>
          </w:tcPr>
          <w:p>
            <w:pPr>
              <w:spacing w:after="0"/>
              <w:rPr>
                <w:sz w:val="20"/>
                <w:szCs w:val="20"/>
                <w:color w:val="auto"/>
              </w:rPr>
            </w:pPr>
            <w:r>
              <w:rPr>
                <w:rFonts w:ascii="Arial" w:cs="Arial" w:eastAsia="Arial" w:hAnsi="Arial"/>
                <w:sz w:val="18"/>
                <w:szCs w:val="18"/>
                <w:color w:val="auto"/>
              </w:rPr>
              <w:t>Pension and other defined contribution retirement plan expenses included the following components: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U.S. Plans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Pr>
          <w:p>
            <w:pPr>
              <w:spacing w:after="0"/>
              <w:rPr>
                <w:sz w:val="20"/>
                <w:szCs w:val="20"/>
                <w:color w:val="auto"/>
              </w:rPr>
            </w:pPr>
          </w:p>
        </w:tc>
        <w:tc>
          <w:tcPr>
            <w:tcW w:w="2720" w:type="dxa"/>
            <w:vAlign w:val="bottom"/>
            <w:gridSpan w:val="4"/>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7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Service cost for benefits earned</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70"/>
        </w:trPr>
        <w:tc>
          <w:tcPr>
            <w:tcW w:w="47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Interest cost on projected benefit obligation</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4,561</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9,580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Expected return on plan assets</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(18,492)</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Net amortization and deferrals</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3,098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periodic benefit income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Defined contribution and other retirement plans</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3,081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5,771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Non-U.S. Plans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Pr>
          <w:p>
            <w:pPr>
              <w:spacing w:after="0"/>
              <w:rPr>
                <w:sz w:val="20"/>
                <w:szCs w:val="20"/>
                <w:color w:val="auto"/>
              </w:rPr>
            </w:pPr>
          </w:p>
        </w:tc>
        <w:tc>
          <w:tcPr>
            <w:tcW w:w="2720" w:type="dxa"/>
            <w:vAlign w:val="bottom"/>
            <w:gridSpan w:val="4"/>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7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Service cost for benefits earned</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4,470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5,610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11,220</w:t>
            </w:r>
          </w:p>
        </w:tc>
        <w:tc>
          <w:tcPr>
            <w:tcW w:w="0" w:type="dxa"/>
            <w:vAlign w:val="bottom"/>
          </w:tcPr>
          <w:p>
            <w:pPr>
              <w:spacing w:after="0"/>
              <w:rPr>
                <w:sz w:val="1"/>
                <w:szCs w:val="1"/>
                <w:color w:val="auto"/>
              </w:rPr>
            </w:pPr>
          </w:p>
        </w:tc>
      </w:tr>
      <w:tr>
        <w:trPr>
          <w:trHeight w:val="270"/>
        </w:trPr>
        <w:tc>
          <w:tcPr>
            <w:tcW w:w="47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Interest cost on projected benefit obligation</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8,675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7,822</w:t>
            </w:r>
          </w:p>
        </w:tc>
        <w:tc>
          <w:tcPr>
            <w:tcW w:w="0" w:type="dxa"/>
            <w:vAlign w:val="bottom"/>
          </w:tcPr>
          <w:p>
            <w:pPr>
              <w:spacing w:after="0"/>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Expected return on plan assets</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(12,334)</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(24,668)</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Net amortization and deferrals</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7,977</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periodic benefit (income) cost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Defined contribution and other retirement plans</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Included as a component of Operating Profit</w:t>
      </w:r>
      <w:r>
        <w:rPr>
          <w:rFonts w:ascii="Arial" w:cs="Arial" w:eastAsia="Arial" w:hAnsi="Arial"/>
          <w:sz w:val="18"/>
          <w:szCs w:val="18"/>
          <w:color w:val="auto"/>
        </w:rPr>
        <w:t>.</w:t>
      </w:r>
    </w:p>
    <w:p>
      <w:pPr>
        <w:spacing w:after="0" w:line="175" w:lineRule="exact"/>
        <w:rPr>
          <w:rFonts w:ascii="Arial" w:cs="Arial" w:eastAsia="Arial" w:hAnsi="Arial"/>
          <w:sz w:val="16"/>
          <w:szCs w:val="16"/>
          <w:color w:val="auto"/>
        </w:rPr>
      </w:pPr>
    </w:p>
    <w:p>
      <w:pPr>
        <w:ind w:left="420" w:hanging="412"/>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Included as a component of Other Income (Expense), net.</w:t>
      </w:r>
    </w:p>
    <w:p>
      <w:pPr>
        <w:spacing w:after="0" w:line="163"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The Company expects to contribute a total of approximately $4.1 million to its U.S. pension plans and a total of $17.1 million to its Non-U.S. Plans during 2018. During the six months ended June 30, 2018, no contributions were made to the qualified U.S. pension plans, $7.8 million of contributions were made to the non-U.S. pension plans, and $2.2 million of benefit payments were made with respect to the Company's non-qualified U.S. pension plan.</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Expense recognized for postretirement benefits other than pensions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47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9"/>
                <w:szCs w:val="19"/>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amortization and deferrals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postretirement benefit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The components of net periodic benefit (income) other than the service cost component are included in Other (income) expense, net in the Consolidated Statement of Income and Comprehensive Income. Beginning in 2018, under the revised FASB guidance adopted in the first quarter of 2018, only the service cost component of net periodic benefit (income) cost is a component of operating profit in the Consolidated Statements of Income and Comprehensive Income and the other components of net periodic benefit cost are now included in Other (income), net. As a result of this change, Other income increased by approximately $6.7 million and $7.4 million in the three months ended June 30, 2018 and 2017, respectively, and by approximately $13.3 million and $14.9 million in the six months ended June 30, 2018 and 2017, respectively, compared to what the Other (income) expense, net would have been under the previous method. The retroactive $7.4 million reduction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2" w:right="239" w:bottom="1440" w:gutter="0" w:footer="0" w:header="0"/>
        </w:sectPr>
      </w:pPr>
    </w:p>
    <w:bookmarkStart w:id="17" w:name="page18"/>
    <w:bookmarkEnd w:id="17"/>
    <w:p>
      <w:pPr>
        <w:ind w:right="140"/>
        <w:spacing w:after="0" w:line="259" w:lineRule="auto"/>
        <w:rPr>
          <w:sz w:val="20"/>
          <w:szCs w:val="20"/>
          <w:color w:val="auto"/>
        </w:rPr>
      </w:pPr>
      <w:r>
        <w:rPr>
          <w:rFonts w:ascii="Arial" w:cs="Arial" w:eastAsia="Arial" w:hAnsi="Arial"/>
          <w:sz w:val="18"/>
          <w:szCs w:val="18"/>
          <w:color w:val="auto"/>
        </w:rPr>
        <w:t>operating profit for the three months ended June 30, 2017 was reflected as a $1.6 million increase in cost of goods sold, a $2.4 million increase in research and development expenses, and a $3.4 million increase in selling and administrative expenses. The retroactive $14.9 million reduction in operating profit for the six months ended June 30, 2017 was reflected as a $3.2 million increase in cost of goods sold, a $4.9 million increase in research and development expenses, and a $6.8 million increase in selling and administrative expenses.</w:t>
      </w:r>
    </w:p>
    <w:p>
      <w:pPr>
        <w:spacing w:after="0" w:line="133"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Company expects to contribute approximately $5.0 million to its postretirement benefits other than pension plans during 2018. In the six months ended June 30, 2018 $2.4 million of contributions were made.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INSTRUMENTS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w:t>
      </w:r>
    </w:p>
    <w:p>
      <w:pPr>
        <w:spacing w:after="0" w:line="17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create the following fair value hierarchy:</w:t>
      </w:r>
    </w:p>
    <w:p>
      <w:pPr>
        <w:spacing w:after="0" w:line="12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Level 1 — 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171"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Level 2 — Quoted prices for </w:t>
      </w:r>
      <w:r>
        <w:rPr>
          <w:rFonts w:ascii="Arial" w:cs="Arial" w:eastAsia="Arial" w:hAnsi="Arial"/>
          <w:sz w:val="17"/>
          <w:szCs w:val="17"/>
          <w:i w:val="1"/>
          <w:iCs w:val="1"/>
          <w:color w:val="auto"/>
        </w:rPr>
        <w:t>similar</w:t>
      </w:r>
      <w:r>
        <w:rPr>
          <w:rFonts w:ascii="Arial" w:cs="Arial" w:eastAsia="Arial" w:hAnsi="Arial"/>
          <w:sz w:val="17"/>
          <w:szCs w:val="17"/>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3 — 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183"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This hierarchy requires the Company to use observable market data, when available, and to minimize the use of unobservable inputs when determining fair value. The Company determines the fair value of structured liabilities (where performance is linked to structured interest rates, inflation or currency risks) using the London Interbank Offer Rate ("LIBOR") swap curve and forward interest and exchange rates at period end. Such instruments are classified as Level 2 based on the observability of significant inputs to the model. The Company does not have any instruments classified as Level 1 or Level 3, other than those included in pension asset trusts as discussed in Note 14 of our 2017 Form 10-K.</w:t>
      </w:r>
    </w:p>
    <w:p>
      <w:pPr>
        <w:spacing w:after="0" w:line="119"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These valuations take into consideration the Company's credit risk and its counterparties’ credit risk. The estimated change in the fair value of these instruments due to such changes in its own credit risk (or instrument-specific credit risk) was immaterial as of June 30, 2018.</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principal amounts and the estimated fair values of financial instruments at June 30, 2018 and December 31, 2017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5"/>
          </w:tcPr>
          <w:p>
            <w:pPr>
              <w:ind w:left="860"/>
              <w:spacing w:after="0"/>
              <w:rPr>
                <w:sz w:val="20"/>
                <w:szCs w:val="20"/>
                <w:color w:val="auto"/>
              </w:rPr>
            </w:pPr>
            <w:r>
              <w:rPr>
                <w:rFonts w:ascii="Arial" w:cs="Arial" w:eastAsia="Arial" w:hAnsi="Arial"/>
                <w:sz w:val="18"/>
                <w:szCs w:val="18"/>
                <w:b w:val="1"/>
                <w:bCs w:val="1"/>
                <w:color w:val="auto"/>
              </w:rPr>
              <w:t>June 30, 2018</w:t>
            </w:r>
          </w:p>
        </w:tc>
        <w:tc>
          <w:tcPr>
            <w:tcW w:w="280" w:type="dxa"/>
            <w:vAlign w:val="bottom"/>
          </w:tcPr>
          <w:p>
            <w:pPr>
              <w:spacing w:after="0"/>
              <w:rPr>
                <w:sz w:val="20"/>
                <w:szCs w:val="20"/>
                <w:color w:val="auto"/>
              </w:rPr>
            </w:pPr>
          </w:p>
        </w:tc>
        <w:tc>
          <w:tcPr>
            <w:tcW w:w="302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9"/>
                <w:szCs w:val="19"/>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w:t>
            </w:r>
          </w:p>
        </w:tc>
        <w:tc>
          <w:tcPr>
            <w:tcW w:w="26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w:t>
            </w:r>
          </w:p>
        </w:tc>
        <w:tc>
          <w:tcPr>
            <w:tcW w:w="260" w:type="dxa"/>
            <w:vAlign w:val="bottom"/>
          </w:tcPr>
          <w:p>
            <w:pPr>
              <w:spacing w:after="0"/>
              <w:rPr>
                <w:sz w:val="19"/>
                <w:szCs w:val="19"/>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tcBorders>
              <w:right w:val="single" w:sz="8" w:color="CCEEFF"/>
            </w:tcBorders>
          </w:tcPr>
          <w:p>
            <w:pPr>
              <w:spacing w:after="0"/>
              <w:rPr>
                <w:sz w:val="22"/>
                <w:szCs w:val="22"/>
                <w:color w:val="auto"/>
              </w:rPr>
            </w:pPr>
          </w:p>
        </w:tc>
        <w:tc>
          <w:tcPr>
            <w:tcW w:w="4660" w:type="dxa"/>
            <w:vAlign w:val="bottom"/>
            <w:gridSpan w:val="2"/>
            <w:shd w:val="clear" w:color="auto" w:fill="CCEEFF"/>
          </w:tcPr>
          <w:p>
            <w:pPr>
              <w:spacing w:after="0" w:line="264"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322,423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322,423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368,046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368,046</w:t>
            </w:r>
          </w:p>
        </w:tc>
      </w:tr>
      <w:tr>
        <w:trPr>
          <w:trHeight w:val="270"/>
        </w:trPr>
        <w:tc>
          <w:tcPr>
            <w:tcW w:w="40" w:type="dxa"/>
            <w:vAlign w:val="bottom"/>
          </w:tcPr>
          <w:p>
            <w:pPr>
              <w:spacing w:after="0"/>
              <w:rPr>
                <w:sz w:val="23"/>
                <w:szCs w:val="23"/>
                <w:color w:val="auto"/>
              </w:rPr>
            </w:pPr>
          </w:p>
        </w:tc>
        <w:tc>
          <w:tcPr>
            <w:tcW w:w="4660" w:type="dxa"/>
            <w:vAlign w:val="bottom"/>
            <w:gridSpan w:val="2"/>
          </w:tcPr>
          <w:p>
            <w:pPr>
              <w:spacing w:after="0" w:line="270" w:lineRule="exact"/>
              <w:rPr>
                <w:sz w:val="20"/>
                <w:szCs w:val="20"/>
                <w:color w:val="auto"/>
              </w:rPr>
            </w:pPr>
            <w:r>
              <w:rPr>
                <w:rFonts w:ascii="Arial" w:cs="Arial" w:eastAsia="Arial" w:hAnsi="Arial"/>
                <w:sz w:val="18"/>
                <w:szCs w:val="18"/>
                <w:color w:val="auto"/>
              </w:rPr>
              <w:t>Credit facilities and bank overdrafts</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340" w:type="dxa"/>
            <w:vAlign w:val="bottom"/>
          </w:tcPr>
          <w:p>
            <w:pPr>
              <w:ind w:left="640"/>
              <w:spacing w:after="0"/>
              <w:rPr>
                <w:sz w:val="20"/>
                <w:szCs w:val="20"/>
                <w:color w:val="auto"/>
              </w:rPr>
            </w:pPr>
            <w:r>
              <w:rPr>
                <w:rFonts w:ascii="Arial" w:cs="Arial" w:eastAsia="Arial" w:hAnsi="Arial"/>
                <w:sz w:val="18"/>
                <w:szCs w:val="18"/>
                <w:color w:val="auto"/>
              </w:rPr>
              <w:t>115,078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115,078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7,993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7,993</w:t>
            </w:r>
          </w:p>
        </w:tc>
      </w:tr>
      <w:tr>
        <w:trPr>
          <w:trHeight w:val="270"/>
        </w:trPr>
        <w:tc>
          <w:tcPr>
            <w:tcW w:w="40" w:type="dxa"/>
            <w:vAlign w:val="bottom"/>
            <w:tcBorders>
              <w:right w:val="single" w:sz="8" w:color="CCEEFF"/>
            </w:tcBorders>
          </w:tcPr>
          <w:p>
            <w:pPr>
              <w:spacing w:after="0"/>
              <w:rPr>
                <w:sz w:val="23"/>
                <w:szCs w:val="23"/>
                <w:color w:val="auto"/>
              </w:rPr>
            </w:pPr>
          </w:p>
        </w:tc>
        <w:tc>
          <w:tcPr>
            <w:tcW w:w="46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Long-term debt:</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Senior notes - 2007</w:t>
            </w:r>
          </w:p>
        </w:tc>
        <w:tc>
          <w:tcPr>
            <w:tcW w:w="280" w:type="dxa"/>
            <w:vAlign w:val="bottom"/>
          </w:tcPr>
          <w:p>
            <w:pPr>
              <w:spacing w:after="0"/>
              <w:rPr>
                <w:sz w:val="21"/>
                <w:szCs w:val="21"/>
                <w:color w:val="auto"/>
              </w:rPr>
            </w:pPr>
          </w:p>
        </w:tc>
        <w:tc>
          <w:tcPr>
            <w:tcW w:w="1340" w:type="dxa"/>
            <w:vAlign w:val="bottom"/>
          </w:tcPr>
          <w:p>
            <w:pPr>
              <w:ind w:left="64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278,720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293,232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Senior notes - 2013</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294,645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304,219</w:t>
            </w: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Euro Senior notes - 2016</w:t>
            </w:r>
          </w:p>
        </w:tc>
        <w:tc>
          <w:tcPr>
            <w:tcW w:w="280" w:type="dxa"/>
            <w:vAlign w:val="bottom"/>
          </w:tcPr>
          <w:p>
            <w:pPr>
              <w:spacing w:after="0"/>
              <w:rPr>
                <w:sz w:val="21"/>
                <w:szCs w:val="21"/>
                <w:color w:val="auto"/>
              </w:rPr>
            </w:pPr>
          </w:p>
        </w:tc>
        <w:tc>
          <w:tcPr>
            <w:tcW w:w="1340" w:type="dxa"/>
            <w:vAlign w:val="bottom"/>
          </w:tcPr>
          <w:p>
            <w:pPr>
              <w:ind w:left="640"/>
              <w:spacing w:after="0"/>
              <w:rPr>
                <w:sz w:val="20"/>
                <w:szCs w:val="20"/>
                <w:color w:val="auto"/>
              </w:rPr>
            </w:pPr>
            <w:r>
              <w:rPr>
                <w:rFonts w:ascii="Arial" w:cs="Arial" w:eastAsia="Arial" w:hAnsi="Arial"/>
                <w:sz w:val="18"/>
                <w:szCs w:val="18"/>
                <w:color w:val="auto"/>
              </w:rPr>
              <w:t>577,700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599,111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594,400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627,782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Senior notes - 2017</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452,689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525,906</w:t>
            </w:r>
          </w:p>
        </w:tc>
      </w:tr>
      <w:tr>
        <w:trPr>
          <w:trHeight w:val="230"/>
        </w:trPr>
        <w:tc>
          <w:tcPr>
            <w:tcW w:w="4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_______________________</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5"/>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ind w:left="6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8" w:name="page19"/>
    <w:bookmarkEnd w:id="18"/>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carrying amount of cash and cash equivalents approximates fair value due to the short maturity of those instruments.</w:t>
      </w:r>
    </w:p>
    <w:p>
      <w:pPr>
        <w:spacing w:after="0" w:line="167" w:lineRule="exact"/>
        <w:rPr>
          <w:rFonts w:ascii="Arial" w:cs="Arial" w:eastAsia="Arial" w:hAnsi="Arial"/>
          <w:sz w:val="16"/>
          <w:szCs w:val="16"/>
          <w:color w:val="auto"/>
        </w:rPr>
      </w:pPr>
    </w:p>
    <w:p>
      <w:pPr>
        <w:ind w:left="500" w:hanging="492"/>
        <w:spacing w:after="0"/>
        <w:tabs>
          <w:tab w:leader="none" w:pos="5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carrying amount approximates fair value as the interest rate is reset frequently based on current market rates as well as the short maturity of those instruments.</w:t>
      </w:r>
    </w:p>
    <w:p>
      <w:pPr>
        <w:spacing w:after="0" w:line="178" w:lineRule="exact"/>
        <w:rPr>
          <w:rFonts w:ascii="Arial" w:cs="Arial" w:eastAsia="Arial" w:hAnsi="Arial"/>
          <w:sz w:val="15"/>
          <w:szCs w:val="15"/>
          <w:color w:val="auto"/>
        </w:rPr>
      </w:pPr>
    </w:p>
    <w:p>
      <w:pPr>
        <w:ind w:left="500" w:right="160" w:hanging="492"/>
        <w:spacing w:after="0" w:line="275"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fair value of the Company's long-term debt was calculated using discounted cash flows applying current interest rates and current credit spreads based on its own credit risk.</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Derivatives</w:t>
      </w:r>
    </w:p>
    <w:p>
      <w:pPr>
        <w:spacing w:after="0" w:line="17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with the objective of reducing exposure to cash flow volatility associated with its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33"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During the six months ended June 30, 2018 and the year ended December 31, 2017, the Company entered into several forward currency contracts which qualified as net investment hedges, in order to mitigate a portion of its net European investments from foreign currency risk. The effective portions of net investment hedges are recorded in other comprehensive income (“OCI”) as a component of Foreign currency translation adjustments in the accompanying Consolidated Statement of Income and Comprehensive Income. Realized gains/(losses) are deferred in accumulated other comprehensive income (loss) ("AOCI") where they will remain until the net investments in the Company's European subsidiaries are divested. Four of these forward currency contracts matured during the six months ended June 30, 2018 and as of June 30, 2018, there were no remaining contracts outstanding.</w:t>
      </w:r>
    </w:p>
    <w:p>
      <w:pPr>
        <w:spacing w:after="0" w:line="111"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Subsequent to the issuance of the Euro Senior Notes - 2016 during the first quarter of 2016, the Company designated the debt as a hedge of a portion of its net European investments. Accordingly, the change in the value of the debt that is attributable to foreign exchange movements is recorded in OCI as a component of Foreign currency translation adjustments in the accompanying Consolidated Statement of Income and Comprehensive Income.</w:t>
      </w:r>
    </w:p>
    <w:p>
      <w:pPr>
        <w:spacing w:after="0" w:line="93"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During the year ended December 31, 2017, the Company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Income and Comprehensive Income. Realized gains/(losses) in AOCI related to cash flow hedges of raw material purchases are recognized as a component of Cost of goods sold in the accompanying Consolidated Statement of Income and Comprehensive Income in the same period as the related costs are recognized.</w:t>
      </w:r>
    </w:p>
    <w:p>
      <w:pPr>
        <w:spacing w:after="0" w:line="111"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color w:val="auto"/>
        </w:rPr>
        <w:t>The Company maintains various interest rate swap agreements that effectively convert the fixed rate on a portion of its long-term borrowings to a variable short-term rate based on the LIBOR plus an interest markup. These swaps are designated as fair value hedges. Amounts recognized in Interest expense were immaterial for the three and six months ended June 30, 2018 and 2017.</w:t>
      </w:r>
    </w:p>
    <w:p>
      <w:pPr>
        <w:spacing w:after="0" w:line="12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In the second quarter of 2018, the Company entered into a foreign currency contract and two interest rate swap agreements, which are contingent upon the closing of the Frutarom acquisition, for a total notional amount of $1.9 billion. As of June 30, 2018, the changes in fair value of the foreign currency contract resulted in an $11.0 million pre-tax gain included in Other income, net and the two interest rate swaps resulted in a $25.0 million pre-tax loss included in Interest expense in the accompanying Consolidated Statement of Income and Comprehensive Income.</w:t>
      </w:r>
    </w:p>
    <w:p>
      <w:pPr>
        <w:spacing w:after="0" w:line="117"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Company has previously entered into interest rate swap agreements to hedge the anticipated issuance of fixed-rate debt, which are designated as cash flow hedges. The amount of gains and losses realized upon termination of these agreements is amortized over the life of the corresponding debt issuance.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51" w:right="259" w:bottom="1440" w:gutter="0" w:footer="0" w:header="0"/>
        </w:sectPr>
      </w:pPr>
    </w:p>
    <w:bookmarkStart w:id="19" w:name="page20"/>
    <w:bookmarkEnd w:id="19"/>
    <w:p>
      <w:pPr>
        <w:ind w:left="420"/>
        <w:spacing w:after="0"/>
        <w:rPr>
          <w:sz w:val="20"/>
          <w:szCs w:val="20"/>
          <w:color w:val="auto"/>
        </w:rPr>
      </w:pPr>
      <w:r>
        <w:rPr>
          <w:rFonts w:ascii="Arial" w:cs="Arial" w:eastAsia="Arial" w:hAnsi="Arial"/>
          <w:sz w:val="17"/>
          <w:szCs w:val="17"/>
          <w:color w:val="auto"/>
        </w:rPr>
        <w:t>The following table shows the notional amount of the Company’s derivative instruments outstanding as of June 30, 2018 and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gridSpan w:val="3"/>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Pr>
          <w:p>
            <w:pPr>
              <w:spacing w:after="0"/>
              <w:rPr>
                <w:sz w:val="17"/>
                <w:szCs w:val="17"/>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2018</w:t>
            </w:r>
          </w:p>
        </w:tc>
        <w:tc>
          <w:tcPr>
            <w:tcW w:w="240" w:type="dxa"/>
            <w:vAlign w:val="bottom"/>
          </w:tcPr>
          <w:p>
            <w:pPr>
              <w:spacing w:after="0"/>
              <w:rPr>
                <w:sz w:val="17"/>
                <w:szCs w:val="17"/>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r>
      <w:tr>
        <w:trPr>
          <w:trHeight w:val="48"/>
        </w:trPr>
        <w:tc>
          <w:tcPr>
            <w:tcW w:w="40" w:type="dxa"/>
            <w:vAlign w:val="bottom"/>
            <w:tcBorders>
              <w:bottom w:val="single" w:sz="8" w:color="CCEEFF"/>
            </w:tcBorders>
          </w:tcPr>
          <w:p>
            <w:pPr>
              <w:spacing w:after="0"/>
              <w:rPr>
                <w:sz w:val="4"/>
                <w:szCs w:val="4"/>
                <w:color w:val="auto"/>
              </w:rPr>
            </w:pPr>
          </w:p>
        </w:tc>
        <w:tc>
          <w:tcPr>
            <w:tcW w:w="1960" w:type="dxa"/>
            <w:vAlign w:val="bottom"/>
            <w:tcBorders>
              <w:top w:val="single" w:sz="8" w:color="auto"/>
              <w:bottom w:val="single" w:sz="8" w:color="CCEEFF"/>
            </w:tcBorders>
          </w:tcPr>
          <w:p>
            <w:pPr>
              <w:spacing w:after="0"/>
              <w:rPr>
                <w:sz w:val="4"/>
                <w:szCs w:val="4"/>
                <w:color w:val="auto"/>
              </w:rPr>
            </w:pPr>
          </w:p>
        </w:tc>
        <w:tc>
          <w:tcPr>
            <w:tcW w:w="49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Non-Deal Contingent Swaps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40" w:type="dxa"/>
            <w:vAlign w:val="bottom"/>
            <w:gridSpan w:val="2"/>
          </w:tcPr>
          <w:p>
            <w:pPr>
              <w:ind w:left="240"/>
              <w:spacing w:after="0"/>
              <w:rPr>
                <w:sz w:val="20"/>
                <w:szCs w:val="20"/>
                <w:color w:val="auto"/>
              </w:rPr>
            </w:pPr>
            <w:r>
              <w:rPr>
                <w:rFonts w:ascii="Arial" w:cs="Arial" w:eastAsia="Arial" w:hAnsi="Arial"/>
                <w:sz w:val="18"/>
                <w:szCs w:val="18"/>
                <w:color w:val="auto"/>
              </w:rPr>
              <w:t>Foreign currency contracts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531,092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896,947</w:t>
            </w: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swaps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Deal Contingent Swaps</w:t>
            </w:r>
          </w:p>
        </w:tc>
        <w:tc>
          <w:tcPr>
            <w:tcW w:w="3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currency contract</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940" w:type="dxa"/>
            <w:vAlign w:val="bottom"/>
            <w:gridSpan w:val="2"/>
          </w:tcPr>
          <w:p>
            <w:pPr>
              <w:ind w:left="240"/>
              <w:spacing w:after="0"/>
              <w:rPr>
                <w:sz w:val="20"/>
                <w:szCs w:val="20"/>
                <w:color w:val="auto"/>
              </w:rPr>
            </w:pPr>
            <w:r>
              <w:rPr>
                <w:rFonts w:ascii="Arial" w:cs="Arial" w:eastAsia="Arial" w:hAnsi="Arial"/>
                <w:sz w:val="18"/>
                <w:szCs w:val="18"/>
                <w:color w:val="auto"/>
              </w:rPr>
              <w:t>Interest rate swaps</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898,513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as of June 30, 2018 and December 31, 2017:</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p>
      <w:pPr>
        <w:ind w:left="280"/>
        <w:spacing w:after="0"/>
        <w:rPr>
          <w:sz w:val="20"/>
          <w:szCs w:val="20"/>
          <w:color w:val="auto"/>
        </w:rPr>
      </w:pPr>
      <w:r>
        <w:rPr>
          <w:rFonts w:ascii="Arial" w:cs="Arial" w:eastAsia="Arial" w:hAnsi="Arial"/>
          <w:sz w:val="17"/>
          <w:szCs w:val="17"/>
          <w:color w:val="auto"/>
        </w:rPr>
        <w:t>Foreign currency contracts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p>
      <w:pPr>
        <w:ind w:left="280"/>
        <w:spacing w:after="0"/>
        <w:rPr>
          <w:sz w:val="20"/>
          <w:szCs w:val="20"/>
          <w:color w:val="auto"/>
        </w:rPr>
      </w:pPr>
      <w:r>
        <w:rPr>
          <w:rFonts w:ascii="Arial" w:cs="Arial" w:eastAsia="Arial" w:hAnsi="Arial"/>
          <w:sz w:val="18"/>
          <w:szCs w:val="18"/>
          <w:color w:val="auto"/>
        </w:rPr>
        <w:t>Foreign currency contract</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rate swaps</w:t>
      </w:r>
    </w:p>
    <w:p>
      <w:pPr>
        <w:spacing w:after="0" w:line="63" w:lineRule="exact"/>
        <w:rPr>
          <w:sz w:val="20"/>
          <w:szCs w:val="20"/>
          <w:color w:val="auto"/>
        </w:rPr>
      </w:pPr>
    </w:p>
    <w:p>
      <w:pPr>
        <w:jc w:val="right"/>
        <w:ind w:right="3340"/>
        <w:spacing w:after="0"/>
        <w:rPr>
          <w:sz w:val="20"/>
          <w:szCs w:val="20"/>
          <w:color w:val="auto"/>
        </w:rPr>
      </w:pPr>
      <w:r>
        <w:rPr>
          <w:rFonts w:ascii="Arial" w:cs="Arial" w:eastAsia="Arial" w:hAnsi="Arial"/>
          <w:sz w:val="18"/>
          <w:szCs w:val="18"/>
          <w:color w:val="auto"/>
        </w:rPr>
        <w:t>Total derivative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Arial" w:cs="Arial" w:eastAsia="Arial" w:hAnsi="Arial"/>
          <w:sz w:val="14"/>
          <w:szCs w:val="14"/>
          <w:i w:val="1"/>
          <w:iCs w:val="1"/>
          <w:u w:val="single" w:color="auto"/>
          <w:color w:val="auto"/>
        </w:rPr>
        <w:t>(DOLLARS IN THOUSANDS)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p>
      <w:pPr>
        <w:ind w:left="280"/>
        <w:spacing w:after="0"/>
        <w:rPr>
          <w:sz w:val="20"/>
          <w:szCs w:val="20"/>
          <w:color w:val="auto"/>
        </w:rPr>
      </w:pPr>
      <w:r>
        <w:rPr>
          <w:rFonts w:ascii="Arial" w:cs="Arial" w:eastAsia="Arial" w:hAnsi="Arial"/>
          <w:sz w:val="17"/>
          <w:szCs w:val="17"/>
          <w:color w:val="auto"/>
        </w:rPr>
        <w:t>Foreign currency contracts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p>
      <w:pPr>
        <w:ind w:left="280"/>
        <w:spacing w:after="0"/>
        <w:rPr>
          <w:sz w:val="20"/>
          <w:szCs w:val="20"/>
          <w:color w:val="auto"/>
        </w:rPr>
      </w:pPr>
      <w:r>
        <w:rPr>
          <w:rFonts w:ascii="Arial" w:cs="Arial" w:eastAsia="Arial" w:hAnsi="Arial"/>
          <w:sz w:val="17"/>
          <w:szCs w:val="17"/>
          <w:color w:val="auto"/>
        </w:rPr>
        <w:t>Foreign currency contracts</w:t>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rate swaps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derivative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_______________________</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31813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Fair Value of</w:t>
            </w:r>
          </w:p>
        </w:tc>
        <w:tc>
          <w:tcPr>
            <w:tcW w:w="20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Fair Value of</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Derivatives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Derivatives Not</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Designated as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Designated as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Hedging</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Hedging</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0"/>
        </w:trPr>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Instruments</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8"/>
                <w:szCs w:val="18"/>
                <w:color w:val="auto"/>
              </w:rPr>
            </w:pPr>
          </w:p>
        </w:tc>
        <w:tc>
          <w:tcPr>
            <w:tcW w:w="1420" w:type="dxa"/>
            <w:vAlign w:val="bottom"/>
          </w:tcPr>
          <w:p>
            <w:pPr>
              <w:jc w:val="right"/>
              <w:ind w:right="152"/>
              <w:spacing w:after="0"/>
              <w:rPr>
                <w:sz w:val="20"/>
                <w:szCs w:val="20"/>
                <w:color w:val="auto"/>
              </w:rPr>
            </w:pPr>
            <w:r>
              <w:rPr>
                <w:rFonts w:ascii="Arial" w:cs="Arial" w:eastAsia="Arial" w:hAnsi="Arial"/>
                <w:sz w:val="16"/>
                <w:szCs w:val="16"/>
                <w:b w:val="1"/>
                <w:bCs w:val="1"/>
                <w:color w:val="auto"/>
                <w:w w:val="97"/>
              </w:rPr>
              <w:t>Total Fair Value</w:t>
            </w:r>
          </w:p>
        </w:tc>
      </w:tr>
      <w:tr>
        <w:trPr>
          <w:trHeight w:val="33"/>
        </w:trPr>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50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17,172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22,697</w:t>
            </w:r>
          </w:p>
        </w:tc>
      </w:tr>
      <w:tr>
        <w:trPr>
          <w:trHeight w:val="540"/>
        </w:trPr>
        <w:tc>
          <w:tcPr>
            <w:tcW w:w="240" w:type="dxa"/>
            <w:vAlign w:val="bottom"/>
          </w:tcPr>
          <w:p>
            <w:pPr>
              <w:spacing w:after="0"/>
              <w:rPr>
                <w:sz w:val="24"/>
                <w:szCs w:val="24"/>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5,901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6,151</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24,937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28,736</w:t>
            </w:r>
          </w:p>
        </w:tc>
      </w:tr>
      <w:tr>
        <w:trPr>
          <w:trHeight w:val="27"/>
        </w:trPr>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30,838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34,887</w:t>
            </w:r>
          </w:p>
        </w:tc>
      </w:tr>
      <w:tr>
        <w:trPr>
          <w:trHeight w:val="27"/>
        </w:trPr>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59"/>
        </w:trPr>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December 31, 2017</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Fair Value of</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Fair Value of</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3"/>
        </w:trPr>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Derivatives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Derivatives Not</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Designated as</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Designated as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Hedging</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Hedging</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0"/>
        </w:trPr>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Instruments</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8"/>
                <w:szCs w:val="18"/>
                <w:color w:val="auto"/>
              </w:rPr>
            </w:pPr>
          </w:p>
        </w:tc>
        <w:tc>
          <w:tcPr>
            <w:tcW w:w="1420" w:type="dxa"/>
            <w:vAlign w:val="bottom"/>
          </w:tcPr>
          <w:p>
            <w:pPr>
              <w:jc w:val="right"/>
              <w:ind w:right="152"/>
              <w:spacing w:after="0"/>
              <w:rPr>
                <w:sz w:val="20"/>
                <w:szCs w:val="20"/>
                <w:color w:val="auto"/>
              </w:rPr>
            </w:pPr>
            <w:r>
              <w:rPr>
                <w:rFonts w:ascii="Arial" w:cs="Arial" w:eastAsia="Arial" w:hAnsi="Arial"/>
                <w:sz w:val="16"/>
                <w:szCs w:val="16"/>
                <w:b w:val="1"/>
                <w:bCs w:val="1"/>
                <w:color w:val="auto"/>
                <w:w w:val="97"/>
              </w:rPr>
              <w:t>Total Fair Value</w:t>
            </w:r>
          </w:p>
        </w:tc>
      </w:tr>
      <w:tr>
        <w:trPr>
          <w:trHeight w:val="33"/>
        </w:trPr>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50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5,137</w:t>
            </w:r>
          </w:p>
        </w:tc>
      </w:tr>
      <w:tr>
        <w:trPr>
          <w:trHeight w:val="540"/>
        </w:trPr>
        <w:tc>
          <w:tcPr>
            <w:tcW w:w="240" w:type="dxa"/>
            <w:vAlign w:val="bottom"/>
          </w:tcPr>
          <w:p>
            <w:pPr>
              <w:spacing w:after="0"/>
              <w:rPr>
                <w:sz w:val="24"/>
                <w:szCs w:val="24"/>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7,842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12,186</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1,369</w:t>
            </w:r>
          </w:p>
        </w:tc>
      </w:tr>
      <w:tr>
        <w:trPr>
          <w:trHeight w:val="27"/>
        </w:trPr>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9,211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13,555</w:t>
            </w:r>
          </w:p>
        </w:tc>
      </w:tr>
      <w:tr>
        <w:trPr>
          <w:trHeight w:val="27"/>
        </w:trPr>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-3086735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-2734945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-2392045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-1071245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-719455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-376555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4" w:lineRule="exact"/>
        <w:rPr>
          <w:sz w:val="20"/>
          <w:szCs w:val="20"/>
          <w:color w:val="auto"/>
        </w:rPr>
      </w:pPr>
    </w:p>
    <w:p>
      <w:pPr>
        <w:sectPr>
          <w:pgSz w:w="11900" w:h="16838" w:orient="portrait"/>
          <w:cols w:equalWidth="0" w:num="2">
            <w:col w:w="5680" w:space="720"/>
            <w:col w:w="5020"/>
          </w:cols>
          <w:pgMar w:left="240" w:top="746" w:right="239" w:bottom="1440" w:gutter="0" w:footer="0" w:header="0"/>
          <w:type w:val="continuous"/>
        </w:sectPr>
      </w:pPr>
    </w:p>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Derivative assets are recorded to Prepaid expenses and other current assets in the Consolidated Balance Sheet.</w:t>
      </w:r>
    </w:p>
    <w:p>
      <w:pPr>
        <w:spacing w:after="0" w:line="171" w:lineRule="exact"/>
        <w:rPr>
          <w:rFonts w:ascii="Arial" w:cs="Arial" w:eastAsia="Arial" w:hAnsi="Arial"/>
          <w:sz w:val="16"/>
          <w:szCs w:val="16"/>
          <w:color w:val="auto"/>
        </w:rPr>
      </w:pPr>
    </w:p>
    <w:p>
      <w:pPr>
        <w:ind w:left="420" w:hanging="412"/>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Derivative liabilities are recorded as Other current liabilities in the Consolidated Balance Sheet.</w:t>
      </w:r>
    </w:p>
    <w:p>
      <w:pPr>
        <w:spacing w:after="0" w:line="17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shows the effect of the Company’s derivative instruments which were not designated as hedging instruments in the Consolidated Statement of Income and Comprehensive Income for the three and six months ended June 30, 2018 and 2017 (in thousands):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5"/>
          </w:tcPr>
          <w:p>
            <w:pPr>
              <w:jc w:val="right"/>
              <w:ind w:right="340"/>
              <w:spacing w:after="0"/>
              <w:rPr>
                <w:sz w:val="20"/>
                <w:szCs w:val="20"/>
                <w:color w:val="auto"/>
              </w:rPr>
            </w:pPr>
            <w:r>
              <w:rPr>
                <w:rFonts w:ascii="Arial" w:cs="Arial" w:eastAsia="Arial" w:hAnsi="Arial"/>
                <w:sz w:val="16"/>
                <w:szCs w:val="16"/>
                <w:b w:val="1"/>
                <w:bCs w:val="1"/>
                <w:color w:val="auto"/>
              </w:rPr>
              <w:t>Amount of Gain (Loss)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8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Location of Gain (Loss) Recognized in Income on</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4"/>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(3,054)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Deal contingent swaps</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currency contracts</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10,979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20" w:type="dxa"/>
            <w:vAlign w:val="bottom"/>
            <w:gridSpan w:val="2"/>
          </w:tcPr>
          <w:p>
            <w:pPr>
              <w:ind w:left="240"/>
              <w:spacing w:after="0"/>
              <w:rPr>
                <w:sz w:val="20"/>
                <w:szCs w:val="20"/>
                <w:color w:val="auto"/>
              </w:rPr>
            </w:pPr>
            <w:r>
              <w:rPr>
                <w:rFonts w:ascii="Arial" w:cs="Arial" w:eastAsia="Arial" w:hAnsi="Arial"/>
                <w:sz w:val="18"/>
                <w:szCs w:val="18"/>
                <w:color w:val="auto"/>
              </w:rPr>
              <w:t>Interest rate swaps</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(24,937)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(9,273)</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(3,054)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rPr>
              <w:t>Amount of Gain (Loss)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5"/>
          </w:tcPr>
          <w:p>
            <w:pPr>
              <w:jc w:val="right"/>
              <w:ind w:right="140"/>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vMerge w:val="restart"/>
          </w:tcPr>
          <w:p>
            <w:pPr>
              <w:jc w:val="center"/>
              <w:ind w:left="35"/>
              <w:spacing w:after="0"/>
              <w:rPr>
                <w:sz w:val="20"/>
                <w:szCs w:val="20"/>
                <w:color w:val="auto"/>
              </w:rPr>
            </w:pPr>
            <w:r>
              <w:rPr>
                <w:rFonts w:ascii="Arial" w:cs="Arial" w:eastAsia="Arial" w:hAnsi="Arial"/>
                <w:sz w:val="16"/>
                <w:szCs w:val="16"/>
                <w:b w:val="1"/>
                <w:bCs w:val="1"/>
                <w:color w:val="auto"/>
                <w:w w:val="90"/>
              </w:rPr>
              <w:t>Location of Gain (Loss) Recognized in Income on</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8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554"/>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Pr>
          <w:p>
            <w:pPr>
              <w:jc w:val="center"/>
              <w:ind w:left="35"/>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86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Foreign currency contracts </w:t>
            </w:r>
            <w:r>
              <w:rPr>
                <w:rFonts w:ascii="Arial" w:cs="Arial" w:eastAsia="Arial" w:hAnsi="Arial"/>
                <w:sz w:val="25"/>
                <w:szCs w:val="25"/>
                <w:color w:val="auto"/>
                <w:vertAlign w:val="superscript"/>
              </w:rPr>
              <w:t>(1)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(13,181)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Deal contingent swaps</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currency contracts</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20" w:type="dxa"/>
            <w:vAlign w:val="bottom"/>
            <w:gridSpan w:val="2"/>
          </w:tcPr>
          <w:p>
            <w:pPr>
              <w:ind w:left="240"/>
              <w:spacing w:after="0"/>
              <w:rPr>
                <w:sz w:val="20"/>
                <w:szCs w:val="20"/>
                <w:color w:val="auto"/>
              </w:rPr>
            </w:pPr>
            <w:r>
              <w:rPr>
                <w:rFonts w:ascii="Arial" w:cs="Arial" w:eastAsia="Arial" w:hAnsi="Arial"/>
                <w:sz w:val="18"/>
                <w:szCs w:val="18"/>
                <w:color w:val="auto"/>
              </w:rPr>
              <w:t>Interest rate swaps</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(24,937)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(12,888)</w:t>
            </w:r>
          </w:p>
        </w:tc>
        <w:tc>
          <w:tcPr>
            <w:tcW w:w="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(13,181)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_______________________</w:t>
            </w: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440" w:hanging="412"/>
        <w:spacing w:after="0" w:line="277"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8"/>
          <w:szCs w:val="18"/>
          <w:color w:val="auto"/>
        </w:rPr>
        <w:t>Most of these net gains (losses) offset any recognized gains (losses) arising from the revaluation of the related intercompany loans during the same respective periods.</w:t>
      </w:r>
    </w:p>
    <w:p>
      <w:pPr>
        <w:spacing w:after="0" w:line="116"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net of tax, in the Consolidated Statement of Income and Comprehensive Income for the three and six months ended June 30, 2018 and 2017 (in thousands):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85"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vMerge w:val="restart"/>
          </w:tcPr>
          <w:p>
            <w:pPr>
              <w:jc w:val="center"/>
              <w:ind w:right="173"/>
              <w:spacing w:after="0"/>
              <w:rPr>
                <w:sz w:val="20"/>
                <w:szCs w:val="20"/>
                <w:color w:val="auto"/>
              </w:rPr>
            </w:pPr>
            <w:r>
              <w:rPr>
                <w:rFonts w:ascii="Arial" w:cs="Arial" w:eastAsia="Arial" w:hAnsi="Arial"/>
                <w:sz w:val="14"/>
                <w:szCs w:val="14"/>
                <w:b w:val="1"/>
                <w:bCs w:val="1"/>
                <w:color w:val="auto"/>
                <w:w w:val="94"/>
              </w:rPr>
              <w:t>Amount of Gain (Loss)</w:t>
            </w:r>
          </w:p>
        </w:tc>
        <w:tc>
          <w:tcPr>
            <w:tcW w:w="100" w:type="dxa"/>
            <w:vAlign w:val="bottom"/>
          </w:tcPr>
          <w:p>
            <w:pPr>
              <w:spacing w:after="0"/>
              <w:rPr>
                <w:sz w:val="14"/>
                <w:szCs w:val="14"/>
                <w:color w:val="auto"/>
              </w:rPr>
            </w:pPr>
          </w:p>
        </w:tc>
        <w:tc>
          <w:tcPr>
            <w:tcW w:w="2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Location of Gain</w:t>
            </w:r>
          </w:p>
        </w:tc>
        <w:tc>
          <w:tcPr>
            <w:tcW w:w="260" w:type="dxa"/>
            <w:vAlign w:val="bottom"/>
          </w:tcPr>
          <w:p>
            <w:pPr>
              <w:spacing w:after="0"/>
              <w:rPr>
                <w:sz w:val="14"/>
                <w:szCs w:val="14"/>
                <w:color w:val="auto"/>
              </w:rPr>
            </w:pPr>
          </w:p>
        </w:tc>
        <w:tc>
          <w:tcPr>
            <w:tcW w:w="236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360" w:type="dxa"/>
            <w:vAlign w:val="bottom"/>
            <w:gridSpan w:val="4"/>
          </w:tcPr>
          <w:p>
            <w:pPr>
              <w:jc w:val="center"/>
              <w:ind w:right="133"/>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4"/>
          </w:tcPr>
          <w:p>
            <w:pPr>
              <w:jc w:val="center"/>
              <w:ind w:right="153"/>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260" w:type="dxa"/>
            <w:vAlign w:val="bottom"/>
          </w:tcPr>
          <w:p>
            <w:pPr>
              <w:spacing w:after="0"/>
              <w:rPr>
                <w:sz w:val="12"/>
                <w:szCs w:val="12"/>
                <w:color w:val="auto"/>
              </w:rPr>
            </w:pPr>
          </w:p>
        </w:tc>
        <w:tc>
          <w:tcPr>
            <w:tcW w:w="2360" w:type="dxa"/>
            <w:vAlign w:val="bottom"/>
            <w:gridSpan w:val="4"/>
          </w:tcPr>
          <w:p>
            <w:pPr>
              <w:jc w:val="center"/>
              <w:ind w:right="153"/>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4"/>
          </w:tcPr>
          <w:p>
            <w:pPr>
              <w:jc w:val="center"/>
              <w:ind w:right="153"/>
              <w:spacing w:after="0" w:line="149" w:lineRule="exact"/>
              <w:rPr>
                <w:sz w:val="20"/>
                <w:szCs w:val="20"/>
                <w:color w:val="auto"/>
              </w:rPr>
            </w:pPr>
            <w:r>
              <w:rPr>
                <w:rFonts w:ascii="Arial" w:cs="Arial" w:eastAsia="Arial" w:hAnsi="Arial"/>
                <w:sz w:val="14"/>
                <w:szCs w:val="14"/>
                <w:b w:val="1"/>
                <w:bCs w:val="1"/>
                <w:color w:val="auto"/>
                <w:w w:val="95"/>
              </w:rPr>
              <w:t>Derivative (Effective</w:t>
            </w:r>
          </w:p>
        </w:tc>
        <w:tc>
          <w:tcPr>
            <w:tcW w:w="100" w:type="dxa"/>
            <w:vAlign w:val="bottom"/>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from AOCI into Income</w:t>
            </w:r>
          </w:p>
        </w:tc>
        <w:tc>
          <w:tcPr>
            <w:tcW w:w="260" w:type="dxa"/>
            <w:vAlign w:val="bottom"/>
          </w:tcPr>
          <w:p>
            <w:pPr>
              <w:spacing w:after="0"/>
              <w:rPr>
                <w:sz w:val="12"/>
                <w:szCs w:val="12"/>
                <w:color w:val="auto"/>
              </w:rPr>
            </w:pPr>
          </w:p>
        </w:tc>
        <w:tc>
          <w:tcPr>
            <w:tcW w:w="2360" w:type="dxa"/>
            <w:vAlign w:val="bottom"/>
            <w:gridSpan w:val="4"/>
          </w:tcPr>
          <w:p>
            <w:pPr>
              <w:jc w:val="center"/>
              <w:ind w:right="153"/>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center"/>
              <w:ind w:left="600"/>
              <w:spacing w:after="0"/>
              <w:rPr>
                <w:sz w:val="20"/>
                <w:szCs w:val="20"/>
                <w:color w:val="auto"/>
              </w:rPr>
            </w:pPr>
            <w:r>
              <w:rPr>
                <w:rFonts w:ascii="Arial" w:cs="Arial" w:eastAsia="Arial" w:hAnsi="Arial"/>
                <w:sz w:val="14"/>
                <w:szCs w:val="14"/>
                <w:b w:val="1"/>
                <w:bCs w:val="1"/>
                <w:color w:val="auto"/>
                <w:w w:val="96"/>
              </w:rPr>
              <w:t>Portion)</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(Effective Portion)</w:t>
            </w:r>
          </w:p>
        </w:tc>
        <w:tc>
          <w:tcPr>
            <w:tcW w:w="260" w:type="dxa"/>
            <w:vAlign w:val="bottom"/>
          </w:tcPr>
          <w:p>
            <w:pPr>
              <w:spacing w:after="0"/>
              <w:rPr>
                <w:sz w:val="16"/>
                <w:szCs w:val="16"/>
                <w:color w:val="auto"/>
              </w:rPr>
            </w:pPr>
          </w:p>
        </w:tc>
        <w:tc>
          <w:tcPr>
            <w:tcW w:w="1460" w:type="dxa"/>
            <w:vAlign w:val="bottom"/>
            <w:gridSpan w:val="3"/>
          </w:tcPr>
          <w:p>
            <w:pPr>
              <w:jc w:val="center"/>
              <w:ind w:left="581"/>
              <w:spacing w:after="0"/>
              <w:rPr>
                <w:sz w:val="20"/>
                <w:szCs w:val="20"/>
                <w:color w:val="auto"/>
              </w:rPr>
            </w:pPr>
            <w:r>
              <w:rPr>
                <w:rFonts w:ascii="Arial" w:cs="Arial" w:eastAsia="Arial" w:hAnsi="Arial"/>
                <w:sz w:val="14"/>
                <w:szCs w:val="14"/>
                <w:b w:val="1"/>
                <w:bCs w:val="1"/>
                <w:color w:val="auto"/>
                <w:w w:val="96"/>
              </w:rPr>
              <w:t>Portion)</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400" w:type="dxa"/>
            <w:vAlign w:val="bottom"/>
            <w:tcBorders>
              <w:top w:val="single" w:sz="8" w:color="auto"/>
            </w:tcBorders>
            <w:gridSpan w:val="4"/>
          </w:tcPr>
          <w:p>
            <w:pPr>
              <w:jc w:val="center"/>
              <w:ind w:right="133"/>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360" w:type="dxa"/>
            <w:vAlign w:val="bottom"/>
            <w:tcBorders>
              <w:top w:val="single" w:sz="8" w:color="auto"/>
            </w:tcBorders>
            <w:gridSpan w:val="4"/>
          </w:tcPr>
          <w:p>
            <w:pPr>
              <w:jc w:val="center"/>
              <w:ind w:right="133"/>
              <w:spacing w:after="0"/>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in Cash Flow Hedging Relationships: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0"/>
              <w:spacing w:after="0"/>
              <w:rPr>
                <w:sz w:val="20"/>
                <w:szCs w:val="20"/>
                <w:color w:val="auto"/>
              </w:rPr>
            </w:pPr>
            <w:r>
              <w:rPr>
                <w:rFonts w:ascii="Arial" w:cs="Arial" w:eastAsia="Arial" w:hAnsi="Arial"/>
                <w:sz w:val="18"/>
                <w:szCs w:val="18"/>
                <w:color w:val="auto"/>
              </w:rPr>
              <w:t>10,241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0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w w:val="92"/>
              </w:rPr>
              <w:t>Derivatives in Net Investment Hedging Relationships: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Euro Senior notes - 2016</w:t>
            </w:r>
          </w:p>
        </w:tc>
        <w:tc>
          <w:tcPr>
            <w:tcW w:w="26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8"/>
                <w:szCs w:val="18"/>
                <w:color w:val="auto"/>
              </w:rPr>
              <w:t>28,682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39,317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(33,629)</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4"/>
            <w:vMerge w:val="restart"/>
          </w:tcPr>
          <w:p>
            <w:pPr>
              <w:jc w:val="center"/>
              <w:ind w:right="153"/>
              <w:spacing w:after="0"/>
              <w:rPr>
                <w:sz w:val="20"/>
                <w:szCs w:val="20"/>
                <w:color w:val="auto"/>
              </w:rPr>
            </w:pPr>
            <w:r>
              <w:rPr>
                <w:rFonts w:ascii="Arial" w:cs="Arial" w:eastAsia="Arial" w:hAnsi="Arial"/>
                <w:sz w:val="14"/>
                <w:szCs w:val="14"/>
                <w:b w:val="1"/>
                <w:bCs w:val="1"/>
                <w:color w:val="auto"/>
                <w:w w:val="92"/>
              </w:rPr>
              <w:t>Amount of (Loss) Gain</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2"/>
              </w:rPr>
              <w:t>Amount of (Loss) Gain</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Location of (Loss) Gain</w:t>
            </w:r>
          </w:p>
        </w:tc>
        <w:tc>
          <w:tcPr>
            <w:tcW w:w="260" w:type="dxa"/>
            <w:vAlign w:val="bottom"/>
          </w:tcPr>
          <w:p>
            <w:pPr>
              <w:spacing w:after="0"/>
              <w:rPr>
                <w:sz w:val="12"/>
                <w:szCs w:val="12"/>
                <w:color w:val="auto"/>
              </w:rPr>
            </w:pPr>
          </w:p>
        </w:tc>
        <w:tc>
          <w:tcPr>
            <w:tcW w:w="2360" w:type="dxa"/>
            <w:vAlign w:val="bottom"/>
            <w:gridSpan w:val="4"/>
          </w:tcPr>
          <w:p>
            <w:pPr>
              <w:jc w:val="center"/>
              <w:ind w:right="133"/>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4"/>
          </w:tcPr>
          <w:p>
            <w:pPr>
              <w:jc w:val="center"/>
              <w:ind w:right="153"/>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0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360" w:type="dxa"/>
            <w:vAlign w:val="bottom"/>
            <w:gridSpan w:val="4"/>
          </w:tcPr>
          <w:p>
            <w:pPr>
              <w:jc w:val="center"/>
              <w:ind w:right="153"/>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4"/>
          </w:tcPr>
          <w:p>
            <w:pPr>
              <w:jc w:val="center"/>
              <w:ind w:right="153"/>
              <w:spacing w:after="0" w:line="149" w:lineRule="exact"/>
              <w:rPr>
                <w:sz w:val="20"/>
                <w:szCs w:val="20"/>
                <w:color w:val="auto"/>
              </w:rPr>
            </w:pPr>
            <w:r>
              <w:rPr>
                <w:rFonts w:ascii="Arial" w:cs="Arial" w:eastAsia="Arial" w:hAnsi="Arial"/>
                <w:sz w:val="14"/>
                <w:szCs w:val="14"/>
                <w:b w:val="1"/>
                <w:bCs w:val="1"/>
                <w:color w:val="auto"/>
                <w:w w:val="95"/>
              </w:rPr>
              <w:t>Derivative (Effective</w:t>
            </w: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260" w:type="dxa"/>
            <w:vAlign w:val="bottom"/>
          </w:tcPr>
          <w:p>
            <w:pPr>
              <w:spacing w:after="0"/>
              <w:rPr>
                <w:sz w:val="12"/>
                <w:szCs w:val="12"/>
                <w:color w:val="auto"/>
              </w:rPr>
            </w:pPr>
          </w:p>
        </w:tc>
        <w:tc>
          <w:tcPr>
            <w:tcW w:w="2360" w:type="dxa"/>
            <w:vAlign w:val="bottom"/>
            <w:gridSpan w:val="4"/>
          </w:tcPr>
          <w:p>
            <w:pPr>
              <w:jc w:val="center"/>
              <w:ind w:right="153"/>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center"/>
              <w:ind w:left="600"/>
              <w:spacing w:after="0"/>
              <w:rPr>
                <w:sz w:val="20"/>
                <w:szCs w:val="20"/>
                <w:color w:val="auto"/>
              </w:rPr>
            </w:pPr>
            <w:r>
              <w:rPr>
                <w:rFonts w:ascii="Arial" w:cs="Arial" w:eastAsia="Arial" w:hAnsi="Arial"/>
                <w:sz w:val="14"/>
                <w:szCs w:val="14"/>
                <w:b w:val="1"/>
                <w:bCs w:val="1"/>
                <w:color w:val="auto"/>
                <w:w w:val="96"/>
              </w:rPr>
              <w:t>Portion)</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Income (Effective Portion)</w:t>
            </w:r>
          </w:p>
        </w:tc>
        <w:tc>
          <w:tcPr>
            <w:tcW w:w="260" w:type="dxa"/>
            <w:vAlign w:val="bottom"/>
          </w:tcPr>
          <w:p>
            <w:pPr>
              <w:spacing w:after="0"/>
              <w:rPr>
                <w:sz w:val="16"/>
                <w:szCs w:val="16"/>
                <w:color w:val="auto"/>
              </w:rPr>
            </w:pPr>
          </w:p>
        </w:tc>
        <w:tc>
          <w:tcPr>
            <w:tcW w:w="1460" w:type="dxa"/>
            <w:vAlign w:val="bottom"/>
            <w:gridSpan w:val="3"/>
          </w:tcPr>
          <w:p>
            <w:pPr>
              <w:jc w:val="center"/>
              <w:ind w:left="581"/>
              <w:spacing w:after="0"/>
              <w:rPr>
                <w:sz w:val="20"/>
                <w:szCs w:val="20"/>
                <w:color w:val="auto"/>
              </w:rPr>
            </w:pPr>
            <w:r>
              <w:rPr>
                <w:rFonts w:ascii="Arial" w:cs="Arial" w:eastAsia="Arial" w:hAnsi="Arial"/>
                <w:sz w:val="14"/>
                <w:szCs w:val="14"/>
                <w:b w:val="1"/>
                <w:bCs w:val="1"/>
                <w:color w:val="auto"/>
                <w:w w:val="96"/>
              </w:rPr>
              <w:t>Portion)</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400" w:type="dxa"/>
            <w:vAlign w:val="bottom"/>
            <w:tcBorders>
              <w:top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4"/>
          </w:tcPr>
          <w:p>
            <w:pPr>
              <w:jc w:val="center"/>
              <w:ind w:right="153"/>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in Cash Flow Hedging Relationships: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0"/>
              <w:spacing w:after="0"/>
              <w:rPr>
                <w:sz w:val="20"/>
                <w:szCs w:val="20"/>
                <w:color w:val="auto"/>
              </w:rPr>
            </w:pPr>
            <w:r>
              <w:rPr>
                <w:rFonts w:ascii="Arial" w:cs="Arial" w:eastAsia="Arial" w:hAnsi="Arial"/>
                <w:sz w:val="18"/>
                <w:szCs w:val="18"/>
                <w:color w:val="auto"/>
              </w:rPr>
              <w:t>9,498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(9,276)</w:t>
            </w:r>
          </w:p>
        </w:tc>
        <w:tc>
          <w:tcPr>
            <w:tcW w:w="10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Derivatives in Net Investment Hedging Relationships: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 Senior notes - 2016</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12,705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(31,189)</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0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22,117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(47,836)</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_______________________</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8"/>
          <w:szCs w:val="18"/>
          <w:color w:val="auto"/>
        </w:rPr>
        <w:t>Interest rate swaps were entered into as pre-issuance hedges for bond offerings.</w:t>
      </w:r>
    </w:p>
    <w:p>
      <w:pPr>
        <w:spacing w:after="0" w:line="171"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ineffective portion of the above noted cash flow hedges and net investment hedges were not material during the three and six months ended June 30, 2018 and 2017.</w:t>
      </w:r>
    </w:p>
    <w:p>
      <w:pPr>
        <w:spacing w:after="0" w:line="116"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The Company expects that approximately $2.4 million (net of tax) of derivative loss included in AOCI at June 30, 2018, based on current market rates, will be reclassified into earnings within the next 12 months. The majority of this amount will vary due to fluctuations in foreign currency exchange rates.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26" w:right="239" w:bottom="1440" w:gutter="0" w:footer="0" w:header="0"/>
        </w:sectPr>
      </w:pPr>
    </w:p>
    <w:bookmarkStart w:id="22" w:name="page23"/>
    <w:bookmarkEnd w:id="22"/>
    <w:p>
      <w:pPr>
        <w:spacing w:after="0"/>
        <w:tabs>
          <w:tab w:leader="none" w:pos="940" w:val="left"/>
        </w:tabs>
        <w:rPr>
          <w:sz w:val="20"/>
          <w:szCs w:val="20"/>
          <w:color w:val="auto"/>
        </w:rPr>
      </w:pPr>
      <w:r>
        <w:rPr>
          <w:rFonts w:ascii="Arial" w:cs="Arial" w:eastAsia="Arial" w:hAnsi="Arial"/>
          <w:sz w:val="18"/>
          <w:szCs w:val="18"/>
          <w:b w:val="1"/>
          <w:bCs w:val="1"/>
          <w:color w:val="auto"/>
        </w:rPr>
        <w:t>NOTE 12.</w:t>
        <w:tab/>
        <w:t>ACCUMULATED OTHER COMPREHENSIVE INCOME (LOSS)</w:t>
      </w:r>
    </w:p>
    <w:p>
      <w:pPr>
        <w:spacing w:after="0" w:line="17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7"/>
                <w:szCs w:val="17"/>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6"/>
              </w:rPr>
              <w:t>(Losses) Gains 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8"/>
              </w:rPr>
              <w:t>Pension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120" w:type="dxa"/>
            <w:vAlign w:val="bottom"/>
          </w:tcPr>
          <w:p>
            <w:pPr>
              <w:spacing w:after="0"/>
              <w:rPr>
                <w:sz w:val="17"/>
                <w:szCs w:val="17"/>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Derivatives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2"/>
              </w:rPr>
              <w:t>Postretirement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7"/>
                <w:szCs w:val="17"/>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Qualifying as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9"/>
              </w:rPr>
              <w:t>Liability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7"/>
                <w:szCs w:val="17"/>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Hedges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3"/>
              </w:rPr>
              <w:t>Adjustment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176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Accumulated other comprehensive (loss) income, net of tax, as of</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(297,416)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(329,734)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(637,482)</w:t>
            </w:r>
          </w:p>
        </w:tc>
        <w:tc>
          <w:tcPr>
            <w:tcW w:w="0" w:type="dxa"/>
            <w:vAlign w:val="bottom"/>
          </w:tcPr>
          <w:p>
            <w:pPr>
              <w:spacing w:after="0"/>
              <w:rPr>
                <w:sz w:val="1"/>
                <w:szCs w:val="1"/>
                <w:color w:val="auto"/>
              </w:rPr>
            </w:pPr>
          </w:p>
        </w:tc>
      </w:tr>
      <w:tr>
        <w:trPr>
          <w:trHeight w:val="243"/>
        </w:trPr>
        <w:tc>
          <w:tcPr>
            <w:tcW w:w="4800" w:type="dxa"/>
            <w:vAlign w:val="bottom"/>
            <w:gridSpan w:val="2"/>
          </w:tcPr>
          <w:p>
            <w:pPr>
              <w:ind w:left="380"/>
              <w:spacing w:after="0"/>
              <w:rPr>
                <w:sz w:val="20"/>
                <w:szCs w:val="20"/>
                <w:color w:val="auto"/>
              </w:rPr>
            </w:pPr>
            <w:r>
              <w:rPr>
                <w:rFonts w:ascii="Arial" w:cs="Arial" w:eastAsia="Arial" w:hAnsi="Arial"/>
                <w:sz w:val="18"/>
                <w:szCs w:val="18"/>
                <w:color w:val="auto"/>
              </w:rPr>
              <w:t>OCI before reclassifications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(70,461)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(65,304)</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5,333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37"/>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(70,461)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9,926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(55,016)</w:t>
            </w: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Accumulated other comprehensive (loss) income, net of tax, as of</w:t>
            </w:r>
          </w:p>
        </w:tc>
        <w:tc>
          <w:tcPr>
            <w:tcW w:w="240" w:type="dxa"/>
            <w:vAlign w:val="bottom"/>
            <w:vMerge w:val="restart"/>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(367,877)</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(324,215)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(692,498)</w:t>
            </w: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2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17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24"/>
                <w:szCs w:val="24"/>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7"/>
              </w:rPr>
              <w:t>(Losses) Gains on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Pension and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4"/>
          </w:tcPr>
          <w:p>
            <w:pPr>
              <w:jc w:val="center"/>
              <w:ind w:right="680"/>
              <w:spacing w:after="0"/>
              <w:rPr>
                <w:sz w:val="20"/>
                <w:szCs w:val="20"/>
                <w:color w:val="auto"/>
              </w:rPr>
            </w:pPr>
            <w:r>
              <w:rPr>
                <w:rFonts w:ascii="Arial" w:cs="Arial" w:eastAsia="Arial" w:hAnsi="Arial"/>
                <w:sz w:val="16"/>
                <w:szCs w:val="16"/>
                <w:b w:val="1"/>
                <w:bCs w:val="1"/>
                <w:color w:val="auto"/>
                <w:w w:val="93"/>
              </w:rPr>
              <w:t>Currency</w:t>
            </w:r>
          </w:p>
        </w:tc>
        <w:tc>
          <w:tcPr>
            <w:tcW w:w="120" w:type="dxa"/>
            <w:vAlign w:val="bottom"/>
          </w:tcPr>
          <w:p>
            <w:pPr>
              <w:spacing w:after="0"/>
              <w:rPr>
                <w:sz w:val="17"/>
                <w:szCs w:val="17"/>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1"/>
              </w:rPr>
              <w:t>Derivatives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0"/>
              </w:rPr>
              <w:t>Postretirement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4"/>
          </w:tcPr>
          <w:p>
            <w:pPr>
              <w:jc w:val="center"/>
              <w:ind w:right="680"/>
              <w:spacing w:after="0"/>
              <w:rPr>
                <w:sz w:val="20"/>
                <w:szCs w:val="20"/>
                <w:color w:val="auto"/>
              </w:rPr>
            </w:pPr>
            <w:r>
              <w:rPr>
                <w:rFonts w:ascii="Arial" w:cs="Arial" w:eastAsia="Arial" w:hAnsi="Arial"/>
                <w:sz w:val="16"/>
                <w:szCs w:val="16"/>
                <w:b w:val="1"/>
                <w:bCs w:val="1"/>
                <w:color w:val="auto"/>
                <w:w w:val="90"/>
              </w:rPr>
              <w:t>Translation</w:t>
            </w:r>
          </w:p>
        </w:tc>
        <w:tc>
          <w:tcPr>
            <w:tcW w:w="120" w:type="dxa"/>
            <w:vAlign w:val="bottom"/>
          </w:tcPr>
          <w:p>
            <w:pPr>
              <w:spacing w:after="0"/>
              <w:rPr>
                <w:sz w:val="17"/>
                <w:szCs w:val="17"/>
                <w:color w:val="auto"/>
              </w:rPr>
            </w:pPr>
          </w:p>
        </w:tc>
        <w:tc>
          <w:tcPr>
            <w:tcW w:w="1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Qualifying as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5"/>
              </w:rPr>
              <w:t>Liability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74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2"/>
              </w:rPr>
              <w:t>Adjustments</w:t>
            </w:r>
          </w:p>
        </w:tc>
        <w:tc>
          <w:tcPr>
            <w:tcW w:w="120" w:type="dxa"/>
            <w:vAlign w:val="bottom"/>
          </w:tcPr>
          <w:p>
            <w:pPr>
              <w:spacing w:after="0"/>
              <w:rPr>
                <w:sz w:val="17"/>
                <w:szCs w:val="17"/>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6"/>
              </w:rPr>
              <w:t>Hedges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3"/>
              </w:rPr>
              <w:t>Adjustment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176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Accumulated other comprehensive (loss) income, net of tax, as of</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(352,025)</w:t>
            </w: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(335,674)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(680,095)</w:t>
            </w:r>
          </w:p>
        </w:tc>
        <w:tc>
          <w:tcPr>
            <w:tcW w:w="0" w:type="dxa"/>
            <w:vAlign w:val="bottom"/>
          </w:tcPr>
          <w:p>
            <w:pPr>
              <w:spacing w:after="0"/>
              <w:rPr>
                <w:sz w:val="1"/>
                <w:szCs w:val="1"/>
                <w:color w:val="auto"/>
              </w:rPr>
            </w:pPr>
          </w:p>
        </w:tc>
      </w:tr>
      <w:tr>
        <w:trPr>
          <w:trHeight w:val="243"/>
        </w:trPr>
        <w:tc>
          <w:tcPr>
            <w:tcW w:w="4800" w:type="dxa"/>
            <w:vAlign w:val="bottom"/>
            <w:gridSpan w:val="2"/>
          </w:tcPr>
          <w:p>
            <w:pPr>
              <w:ind w:left="380"/>
              <w:spacing w:after="0"/>
              <w:rPr>
                <w:sz w:val="20"/>
                <w:szCs w:val="20"/>
                <w:color w:val="auto"/>
              </w:rPr>
            </w:pPr>
            <w:r>
              <w:rPr>
                <w:rFonts w:ascii="Arial" w:cs="Arial" w:eastAsia="Arial" w:hAnsi="Arial"/>
                <w:sz w:val="18"/>
                <w:szCs w:val="18"/>
                <w:color w:val="auto"/>
              </w:rPr>
              <w:t>OCI before reclassifications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22,304</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(11,629)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(12,214)  (a)</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(6,781)</w:t>
            </w:r>
          </w:p>
        </w:tc>
        <w:tc>
          <w:tcPr>
            <w:tcW w:w="0" w:type="dxa"/>
            <w:vAlign w:val="bottom"/>
          </w:tcPr>
          <w:p>
            <w:pPr>
              <w:spacing w:after="0"/>
              <w:rPr>
                <w:sz w:val="1"/>
                <w:szCs w:val="1"/>
                <w:color w:val="auto"/>
              </w:rPr>
            </w:pPr>
          </w:p>
        </w:tc>
      </w:tr>
      <w:tr>
        <w:trPr>
          <w:trHeight w:val="237"/>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10,090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(13,519)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7,323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Accumulated other comprehensive (loss) income, net of tax, as of</w:t>
            </w:r>
          </w:p>
        </w:tc>
        <w:tc>
          <w:tcPr>
            <w:tcW w:w="2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(341,935)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(328,351)</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(676,201)</w:t>
            </w: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auto"/>
            </w:tcBorders>
            <w:gridSpan w:val="4"/>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60" w:type="dxa"/>
            <w:vAlign w:val="bottom"/>
            <w:tcBorders>
              <w:bottom w:val="single" w:sz="8" w:color="auto"/>
            </w:tcBorders>
            <w:gridSpan w:val="4"/>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8"/>
          <w:szCs w:val="18"/>
          <w:color w:val="auto"/>
        </w:rPr>
        <w:t>_______________________</w:t>
      </w:r>
    </w:p>
    <w:p>
      <w:pPr>
        <w:spacing w:after="0" w:line="157" w:lineRule="exact"/>
        <w:rPr>
          <w:sz w:val="20"/>
          <w:szCs w:val="20"/>
          <w:color w:val="auto"/>
        </w:rPr>
      </w:pPr>
    </w:p>
    <w:p>
      <w:pPr>
        <w:ind w:left="280" w:hanging="231"/>
        <w:spacing w:after="0"/>
        <w:tabs>
          <w:tab w:leader="none" w:pos="280" w:val="left"/>
        </w:tabs>
        <w:numPr>
          <w:ilvl w:val="0"/>
          <w:numId w:val="16"/>
        </w:numPr>
        <w:rPr>
          <w:rFonts w:ascii="Arial" w:cs="Arial" w:eastAsia="Arial" w:hAnsi="Arial"/>
          <w:sz w:val="15"/>
          <w:szCs w:val="15"/>
          <w:color w:val="auto"/>
        </w:rPr>
      </w:pPr>
      <w:r>
        <w:rPr>
          <w:rFonts w:ascii="Arial" w:cs="Arial" w:eastAsia="Arial" w:hAnsi="Arial"/>
          <w:sz w:val="17"/>
          <w:szCs w:val="17"/>
          <w:color w:val="auto"/>
        </w:rPr>
        <w:t>Represents a foreign currency exchange gain from the release of a currency translation adjustment upon the liquidation of a foreign entity in 2017.</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details about reclassifications out of accumulated other comprehensive income to the Consolidated Statement of Income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100" w:type="dxa"/>
            <w:vAlign w:val="bottom"/>
            <w:gridSpan w:val="4"/>
            <w:vMerge w:val="restart"/>
          </w:tcPr>
          <w:p>
            <w:pPr>
              <w:jc w:val="right"/>
              <w:ind w:right="70"/>
              <w:spacing w:after="0"/>
              <w:rPr>
                <w:sz w:val="20"/>
                <w:szCs w:val="20"/>
                <w:color w:val="auto"/>
              </w:rPr>
            </w:pPr>
            <w:r>
              <w:rPr>
                <w:rFonts w:ascii="Arial" w:cs="Arial" w:eastAsia="Arial" w:hAnsi="Arial"/>
                <w:sz w:val="18"/>
                <w:szCs w:val="18"/>
                <w:b w:val="1"/>
                <w:bCs w:val="1"/>
                <w:color w:val="auto"/>
              </w:rPr>
              <w:t>Six Months Ended June 30,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1"/>
              </w:rPr>
              <w:t>Affected Line Item in the</w:t>
            </w:r>
          </w:p>
        </w:tc>
        <w:tc>
          <w:tcPr>
            <w:tcW w:w="0" w:type="dxa"/>
            <w:vAlign w:val="bottom"/>
          </w:tcPr>
          <w:p>
            <w:pPr>
              <w:spacing w:after="0"/>
              <w:rPr>
                <w:sz w:val="1"/>
                <w:szCs w:val="1"/>
                <w:color w:val="auto"/>
              </w:rPr>
            </w:pPr>
          </w:p>
        </w:tc>
      </w:tr>
      <w:tr>
        <w:trPr>
          <w:trHeight w:val="221"/>
        </w:trPr>
        <w:tc>
          <w:tcPr>
            <w:tcW w:w="17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100" w:type="dxa"/>
            <w:vAlign w:val="bottom"/>
            <w:tcBorders>
              <w:bottom w:val="single" w:sz="8" w:color="auto"/>
            </w:tcBorders>
            <w:gridSpan w:val="4"/>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Consolidated Statement</w:t>
            </w:r>
          </w:p>
        </w:tc>
        <w:tc>
          <w:tcPr>
            <w:tcW w:w="0" w:type="dxa"/>
            <w:vAlign w:val="bottom"/>
          </w:tcPr>
          <w:p>
            <w:pPr>
              <w:spacing w:after="0"/>
              <w:rPr>
                <w:sz w:val="1"/>
                <w:szCs w:val="1"/>
                <w:color w:val="auto"/>
              </w:rPr>
            </w:pPr>
          </w:p>
        </w:tc>
      </w:tr>
      <w:tr>
        <w:trPr>
          <w:trHeight w:val="191"/>
        </w:trPr>
        <w:tc>
          <w:tcPr>
            <w:tcW w:w="17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of Income and Comprehensive</w:t>
            </w:r>
          </w:p>
        </w:tc>
        <w:tc>
          <w:tcPr>
            <w:tcW w:w="0" w:type="dxa"/>
            <w:vAlign w:val="bottom"/>
          </w:tcPr>
          <w:p>
            <w:pPr>
              <w:spacing w:after="0"/>
              <w:rPr>
                <w:sz w:val="1"/>
                <w:szCs w:val="1"/>
                <w:color w:val="auto"/>
              </w:rPr>
            </w:pPr>
          </w:p>
        </w:tc>
      </w:tr>
      <w:tr>
        <w:trPr>
          <w:trHeight w:val="221"/>
        </w:trPr>
        <w:tc>
          <w:tcPr>
            <w:tcW w:w="47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1"/>
        </w:trPr>
        <w:tc>
          <w:tcPr>
            <w:tcW w:w="176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(Losses) gains on derivatives qualifying as hedges</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contracts</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rate swaps</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Tax</w:t>
            </w:r>
          </w:p>
        </w:tc>
        <w:tc>
          <w:tcPr>
            <w:tcW w:w="1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17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w:t>
            </w:r>
          </w:p>
        </w:tc>
        <w:tc>
          <w:tcPr>
            <w:tcW w:w="12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(Losses) gains on pension and postretirement liability</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adjustments</w:t>
            </w: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Prior service cost</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3,512</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Actuarial losses</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(10,206)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(12,982)</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Tax</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w:t>
            </w:r>
          </w:p>
        </w:tc>
        <w:tc>
          <w:tcPr>
            <w:tcW w:w="12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12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7"/>
        </w:trPr>
        <w:tc>
          <w:tcPr>
            <w:tcW w:w="4700" w:type="dxa"/>
            <w:vAlign w:val="bottom"/>
            <w:gridSpan w:val="2"/>
            <w:vMerge w:val="restart"/>
          </w:tcPr>
          <w:p>
            <w:pPr>
              <w:ind w:left="40"/>
              <w:spacing w:after="0"/>
              <w:rPr>
                <w:sz w:val="20"/>
                <w:szCs w:val="20"/>
                <w:color w:val="auto"/>
              </w:rPr>
            </w:pPr>
            <w:r>
              <w:rPr>
                <w:rFonts w:ascii="Arial" w:cs="Arial" w:eastAsia="Arial" w:hAnsi="Arial"/>
                <w:sz w:val="18"/>
                <w:szCs w:val="18"/>
                <w:color w:val="auto"/>
              </w:rPr>
              <w:t>_______________________</w:t>
            </w: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continue"/>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180" w:hanging="412"/>
        <w:spacing w:after="0" w:line="277"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8"/>
          <w:szCs w:val="18"/>
          <w:color w:val="auto"/>
        </w:rPr>
        <w:t>The amortization of prior service cost and actuarial loss is included in the computation of net periodic benefit cost. Refer to Note 14 of our 2017 Form 10-K for additional information regarding net periodic benefit cost.</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42" w:right="239" w:bottom="1440" w:gutter="0" w:footer="0" w:header="0"/>
          <w:type w:val="continuous"/>
        </w:sectPr>
      </w:pPr>
    </w:p>
    <w:bookmarkStart w:id="23" w:name="page24"/>
    <w:bookmarkEnd w:id="23"/>
    <w:p>
      <w:pPr>
        <w:spacing w:after="0"/>
        <w:tabs>
          <w:tab w:leader="none" w:pos="940" w:val="left"/>
        </w:tabs>
        <w:rPr>
          <w:sz w:val="20"/>
          <w:szCs w:val="20"/>
          <w:color w:val="auto"/>
        </w:rPr>
      </w:pPr>
      <w:r>
        <w:rPr>
          <w:rFonts w:ascii="Arial" w:cs="Arial" w:eastAsia="Arial" w:hAnsi="Arial"/>
          <w:sz w:val="18"/>
          <w:szCs w:val="18"/>
          <w:b w:val="1"/>
          <w:bCs w:val="1"/>
          <w:color w:val="auto"/>
        </w:rPr>
        <w:t>NOTE 13.</w:t>
        <w:tab/>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17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to support its ongoing business operations and to satisfy governmental requirements associated with pending litigation in various jurisdictions.</w:t>
      </w:r>
    </w:p>
    <w:p>
      <w:pPr>
        <w:spacing w:after="0" w:line="116"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At June 30, 2018, we had total bank guarantees and standby letters of credit of approximately $49.4 million with various financial institutions. Included in the above aggregate amount is a total of $13.5 million for other assessments in Brazil for various income tax and indirect tax disputes related to fiscal years 1998-2011. There were no material amounts utilized under the standby letters of credit as of June 30, 2018.</w:t>
      </w:r>
    </w:p>
    <w:p>
      <w:pPr>
        <w:spacing w:after="0" w:line="111"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$11.2 million as of June 30,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17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Company has various lines of credit which are available to support its ongoing business operations. As of June 30, 2018, we had available lines of credit of approximately $102.3 million with various financial institutions, in addition to the $1.0 billion of capacity under the Amended Credit Facility discussed in Note 6 of the Consolidated Financial Statements. There were no material amounts drawn down pursuant to these lines of credit as of June 30,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will be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Periodically, the Company assesses its insurance coverage for all known claims, where applicable, taking into account aggregate coverage by occurrence, limits of coverage, self-insured retentions and deductibles, historical claims experience and claims experience with its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will be incurred and if so, whether the amount of loss can be reasonably estimated. The Company records the expected liability with respect to claims in Other liabilities and expected recoveries from its insurance carriers in Other assets. The Company recognizes a receivable when it believes that realization of the insurance receivable is probable under the terms of the insurance policies and its payment experience to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75"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has been identified as a PRP at eight facilities operated by third parties at which investigation and/or remediation activities may be ongoing. The Company analyzes potential liability on at least a quarterly basis and accrues for environmental liabilities when they are probable and estimable. The Company estimates its share of the total future cost for these sites to be less than $5 million.</w:t>
      </w:r>
    </w:p>
    <w:p>
      <w:pPr>
        <w:spacing w:after="0" w:line="12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the Company believes the amounts it has paid and anticipates paying in the future for clean-up costs and damages at all sites are not and will not have a material adverse effect on its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the Company to materially increase the amounts it anticipates paying for clean-up costs and damages at these sites, and that such increased amounts will not have a material adverse effect on its financial condition, results of operations or cash flows.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China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Guangzhou Flavors plant</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fourth quarter of 2016, the Company was notified that certain governmental authorities have begun to evaluate a change in the zoning of the Guangzhou Flavors plant. The zoning, if changed, would prevent the Company from continuing to manufacture product at the existing plant. The ultimate outcome of any change that the governmental authorities may propose, the timing of such a change, and the nature of any compensation arrangements that might be provided to the Company are uncertain.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net book value of the existing plant was approximately $71 million as of June 30,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Zhejiang Ingredients plant</w:t>
      </w:r>
    </w:p>
    <w:p>
      <w:pPr>
        <w:spacing w:after="0" w:line="171"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In the fourth quarter of 2017, the Company concluded discussions with the government regarding the relocation of its Fragrance Ingredients plant in Zhejiang and, based on the agreements reached, expects to receive total compensation payments up to approximately $50 million. The relocation compensation will be paid to the Company over the period of the relocation which is expected to be through the end of 2020. The Company received the first payment of $15 million in the fourth quarter of 2017. No additional amounts have been received since the fourth quarter of 2017.</w:t>
      </w:r>
    </w:p>
    <w:p>
      <w:pPr>
        <w:spacing w:after="0" w:line="117"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The net book value of the current plant was approximately $23 million as of June 30, 2018. The Company expects to relocate approximately half of production capacity of the facility by the middle of 2019 and the remainder of the production capacity of the facility by the middle of 2020.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China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total net book value of all five plants in China (one of which is currently under construction) was approximately $161 million as of June 30, 2018.</w:t>
      </w:r>
    </w:p>
    <w:p>
      <w:pPr>
        <w:spacing w:after="0" w:line="194"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it operates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3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the Company believes it has valid defenses for the underlying positions under dispute; however, in order to pursue these defenses, the Company is required to, and has provided, bank guarantees and pledged assets in the aggregate amount of $24.7 million. The Brazilian matters take an extended period of time to proceed through the judicial process and there are a limited number of rulings to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ZoomEssence</w:t>
      </w:r>
    </w:p>
    <w:p>
      <w:pPr>
        <w:spacing w:after="0" w:line="17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As previously disclosed, in March 2012, ZoomEssence, Inc. filed a complaint against the Company in the U.S. District Court for the District of New Jersey alleging trade secret misappropriation, breach of contract and unjust enrichment in connection with certain spray dry technology disclosed to the Company. ZoomEssence sought an injunction and monetary damages. In November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During the second quarter of 2017, the Company and ZoomEssence mutually agreed to settle all claims and counterclaims. The parties agreed to dismiss their claims against one another, with prejudice and without any admission of liability or wrongful conduct, to avoid any further expense and disruption from the litigation. The complaint was dismissed, with prejudice, on July 5, 2017. Under the settlement agreement, the Company made a one-time payment to ZoomEssence of $56 million during the second quarter of 2017 and the parties exchanged full mutual releases. Accordingly, the Company recorded an additional charge of $1.0 million during the second quarter of 2017.</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742"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FDA-Mandated Product Recall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periodically incurs product liability claims based on product that is sold to customers that may be defective or otherwise not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customer’s requirements. In the first quarter of 2017, the Company was made aware of a claim for product that was subject to an FDA-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mandated product recall. As of June 30, 2018, the Company had recorded total charges of approximately $17.5 million with respect to this claim,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was recorded in the three months ended March 31, 2018. The Company settled the claim with the customer in the first quarter of 2018 for a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$16.0 million, of which $3.0 million was paid in the fourth quarter of 2017 and $13.0 million was paid during the three months ended March 31, 2018.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accrual of approximately $1.5 million represents management's best estimate of losses related to claims from other affected parties.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does not believe that the ultimate settlement of the claim will have a material impact on its financial condition.</w:t>
      </w:r>
    </w:p>
    <w:p>
      <w:pPr>
        <w:spacing w:after="0" w:line="15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Subsequent to the end of the second quarter of 2018, the Company finalized an agreement with the supplier of the effected product for reimbursement of $9.8 million, in full and final settlement from the supplier. The Company continues to pursue reimbursement of all or a portion of costs, once incurred, from other parties including its insurance company; however, the nature, timing and amount of any additional such reimbursement cannot be determined at this time.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Company determines estimates of reasonably possible losses or ranges of reasonably possible losses in excess of related accrued liabilities, if any, when it has determined that either a loss is reasonably possible or a loss in excess of accrued amounts is reasonably possible and the amount of losses or range of losses is determinable. For all third party contingencies (including labor, contract, technology, tax, product-related claims and business litigation), the Company currently estimates that the aggregate range of reasonably possible losses in excess of any accrued liabilities is $0 to approximately $12 million.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amount may not represent the ultimate loss to the Company from the matters in question. Thus, the Company’s exposure and ultimate losses may be higher or lower, and possibly significantly so, than the amounts accrued or the range disclosed above.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(UNLESS INDICATED OTHERWISE, DOLLARS IN MILLIONS EXCEPT PER SHARE AMOUNTS)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90" w:lineRule="exact"/>
        <w:rPr>
          <w:sz w:val="20"/>
          <w:szCs w:val="20"/>
          <w:color w:val="auto"/>
        </w:rPr>
      </w:pPr>
    </w:p>
    <w:p>
      <w:pPr>
        <w:ind w:right="300" w:firstLine="405"/>
        <w:spacing w:after="0" w:line="297" w:lineRule="auto"/>
        <w:rPr>
          <w:sz w:val="20"/>
          <w:szCs w:val="20"/>
          <w:color w:val="auto"/>
        </w:rPr>
      </w:pPr>
      <w:r>
        <w:rPr>
          <w:rFonts w:ascii="Arial" w:cs="Arial" w:eastAsia="Arial" w:hAnsi="Arial"/>
          <w:sz w:val="16"/>
          <w:szCs w:val="16"/>
          <w:color w:val="auto"/>
        </w:rPr>
        <w:t xml:space="preserve">We are a leading innovator of sensory experiences, co-creating unique products that consumers taste, smell, or feel in fine fragrances and cosmetics, detergents and household goods, and food and beverages. We take advantage of </w:t>
      </w:r>
      <w:r>
        <w:rPr>
          <w:rFonts w:ascii="Arial" w:cs="Arial" w:eastAsia="Arial" w:hAnsi="Arial"/>
          <w:sz w:val="16"/>
          <w:szCs w:val="16"/>
          <w:color w:val="231F20"/>
        </w:rPr>
        <w:t>our capabilities in consumer insights, research and product development</w:t>
      </w:r>
      <w:r>
        <w:rPr>
          <w:rFonts w:ascii="Arial" w:cs="Arial" w:eastAsia="Arial" w:hAnsi="Arial"/>
          <w:sz w:val="16"/>
          <w:szCs w:val="16"/>
          <w:color w:val="auto"/>
        </w:rPr>
        <w:t xml:space="preserve"> </w:t>
      </w:r>
      <w:r>
        <w:rPr>
          <w:rFonts w:ascii="Arial" w:cs="Arial" w:eastAsia="Arial" w:hAnsi="Arial"/>
          <w:sz w:val="16"/>
          <w:szCs w:val="16"/>
          <w:color w:val="231F20"/>
        </w:rPr>
        <w:t xml:space="preserve">(“R&amp;D”), creative expertise and customer intimacy to </w:t>
      </w:r>
      <w:r>
        <w:rPr>
          <w:rFonts w:ascii="Arial" w:cs="Arial" w:eastAsia="Arial" w:hAnsi="Arial"/>
          <w:sz w:val="16"/>
          <w:szCs w:val="16"/>
          <w:color w:val="000000"/>
        </w:rPr>
        <w:t>partner with our customers in developing innovative and differentiated offerings for consumers. We</w:t>
      </w:r>
      <w:r>
        <w:rPr>
          <w:rFonts w:ascii="Arial" w:cs="Arial" w:eastAsia="Arial" w:hAnsi="Arial"/>
          <w:sz w:val="16"/>
          <w:szCs w:val="16"/>
          <w:color w:val="231F20"/>
        </w:rPr>
        <w:t xml:space="preserve"> </w:t>
      </w:r>
      <w:r>
        <w:rPr>
          <w:rFonts w:ascii="Arial" w:cs="Arial" w:eastAsia="Arial" w:hAnsi="Arial"/>
          <w:sz w:val="16"/>
          <w:szCs w:val="16"/>
          <w:color w:val="000000"/>
        </w:rPr>
        <w:t xml:space="preserve">believe that this collaborative approach will generate market share gains for our </w:t>
      </w:r>
      <w:r>
        <w:rPr>
          <w:rFonts w:ascii="Arial" w:cs="Arial" w:eastAsia="Arial" w:hAnsi="Arial"/>
          <w:sz w:val="16"/>
          <w:szCs w:val="16"/>
          <w:color w:val="231F20"/>
        </w:rPr>
        <w:t>customers.</w:t>
      </w:r>
      <w:r>
        <w:rPr>
          <w:rFonts w:ascii="Arial" w:cs="Arial" w:eastAsia="Arial" w:hAnsi="Arial"/>
          <w:sz w:val="16"/>
          <w:szCs w:val="16"/>
          <w:color w:val="000000"/>
        </w:rPr>
        <w:t xml:space="preserve"> Our flavors and fragrance compounds combine a number of ingredients that are blended, mixed or reacted together to produce proprietary formulas created by our flavorists and perfumers.</w:t>
      </w:r>
    </w:p>
    <w:p>
      <w:pPr>
        <w:spacing w:after="0" w:line="104" w:lineRule="exact"/>
        <w:rPr>
          <w:sz w:val="20"/>
          <w:szCs w:val="20"/>
          <w:color w:val="auto"/>
        </w:rPr>
      </w:pPr>
    </w:p>
    <w:p>
      <w:pPr>
        <w:ind w:right="180" w:firstLine="405"/>
        <w:spacing w:after="0" w:line="286" w:lineRule="auto"/>
        <w:rPr>
          <w:sz w:val="20"/>
          <w:szCs w:val="20"/>
          <w:color w:val="auto"/>
        </w:rPr>
      </w:pPr>
      <w:r>
        <w:rPr>
          <w:rFonts w:ascii="Arial" w:cs="Arial" w:eastAsia="Arial" w:hAnsi="Arial"/>
          <w:sz w:val="16"/>
          <w:szCs w:val="16"/>
          <w:color w:val="auto"/>
        </w:rPr>
        <w:t>Flavors are the key building blocks that impart taste experiences in food and beverage products and, as such, play a significant role in determining consumer preference for the end products in which they are used. As a leading creator of flavors, we help our customers deliver on the promise of delicious and healthy foods and drinks that appeal to consumers. While we are a global leader, our flavors business is more regional in nature, with different formulas that reflect local taste preferences. Our flavors compounds are ultimately used by our customers in four end-use categories: (1) Savory, (2) Beverages,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Sweet and (4) Dairy.</w:t>
      </w:r>
    </w:p>
    <w:p>
      <w:pPr>
        <w:spacing w:after="0" w:line="157"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231F20"/>
        </w:rPr>
        <w:t xml:space="preserve">We are a global leader in the creation of fragrance compounds that are integral elements in </w:t>
      </w:r>
      <w:r>
        <w:rPr>
          <w:rFonts w:ascii="Arial" w:cs="Arial" w:eastAsia="Arial" w:hAnsi="Arial"/>
          <w:sz w:val="18"/>
          <w:szCs w:val="18"/>
          <w:color w:val="000000"/>
        </w:rPr>
        <w:t>the world’s finest perfumes and best-known consumer</w:t>
      </w:r>
      <w:r>
        <w:rPr>
          <w:rFonts w:ascii="Arial" w:cs="Arial" w:eastAsia="Arial" w:hAnsi="Arial"/>
          <w:sz w:val="18"/>
          <w:szCs w:val="18"/>
          <w:color w:val="231F20"/>
        </w:rPr>
        <w:t xml:space="preserve"> </w:t>
      </w:r>
      <w:r>
        <w:rPr>
          <w:rFonts w:ascii="Arial" w:cs="Arial" w:eastAsia="Arial" w:hAnsi="Arial"/>
          <w:sz w:val="18"/>
          <w:szCs w:val="18"/>
          <w:color w:val="000000"/>
        </w:rPr>
        <w:t>products, within fabric care, home care, personal wash, hair care and toiletries products. Our Fragrances business consists of Fragrance Compounds and Fragrance Ingredients. Our Fragrance Compounds are defined into two broad categories, (1) Fine Fragrances and (2) Consumer Fragrances. Consumer Fragrances consists of five end-use categories of products: (1) Fabric Care, (2) Home Care, (3) Personal Wash, (4) Hair Care and (5) Toiletries. Fragrance Ingredients consist of cosmetic active and functional ingredients that are used internally and sold to third parties, including customers and competitors, and are included in the Fragrances business unit.</w:t>
      </w:r>
    </w:p>
    <w:p>
      <w:pPr>
        <w:spacing w:after="0" w:line="13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flavors and fragrances market is part of a larger market which supplies a wide variety of ingredients and compounds that are used in consumer products. The broader market includes large multinational companies and smaller regional and local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6" w:name="page27"/>
    <w:bookmarkEnd w:id="26"/>
    <w:p>
      <w:pPr>
        <w:ind w:right="120"/>
        <w:spacing w:after="0" w:line="302" w:lineRule="auto"/>
        <w:rPr>
          <w:sz w:val="20"/>
          <w:szCs w:val="20"/>
          <w:color w:val="auto"/>
        </w:rPr>
      </w:pPr>
      <w:r>
        <w:rPr>
          <w:rFonts w:ascii="Arial" w:cs="Arial" w:eastAsia="Arial" w:hAnsi="Arial"/>
          <w:sz w:val="16"/>
          <w:szCs w:val="16"/>
          <w:color w:val="auto"/>
        </w:rPr>
        <w:t xml:space="preserve">participants which supply products such as seasonings, texturizers, spices, enzymes, certain food-related commodities, fortified products and active cosmetic ingredients. </w:t>
      </w:r>
      <w:r>
        <w:rPr>
          <w:rFonts w:ascii="Arial" w:cs="Arial" w:eastAsia="Arial" w:hAnsi="Arial"/>
          <w:sz w:val="16"/>
          <w:szCs w:val="16"/>
          <w:color w:val="231F20"/>
        </w:rPr>
        <w:t>The global market for flavors and fragrances has expanded consistently, primarily as a result of an increase in demand for, as well as an increase</w:t>
      </w:r>
      <w:r>
        <w:rPr>
          <w:rFonts w:ascii="Arial" w:cs="Arial" w:eastAsia="Arial" w:hAnsi="Arial"/>
          <w:sz w:val="16"/>
          <w:szCs w:val="16"/>
          <w:color w:val="auto"/>
        </w:rPr>
        <w:t xml:space="preserve"> </w:t>
      </w:r>
      <w:r>
        <w:rPr>
          <w:rFonts w:ascii="Arial" w:cs="Arial" w:eastAsia="Arial" w:hAnsi="Arial"/>
          <w:sz w:val="16"/>
          <w:szCs w:val="16"/>
          <w:color w:val="231F20"/>
        </w:rPr>
        <w:t xml:space="preserve">in the variety of, consumer products containing flavors and fragrances. </w:t>
      </w:r>
      <w:r>
        <w:rPr>
          <w:rFonts w:ascii="Arial" w:cs="Arial" w:eastAsia="Arial" w:hAnsi="Arial"/>
          <w:sz w:val="16"/>
          <w:szCs w:val="16"/>
          <w:color w:val="000000"/>
        </w:rPr>
        <w:t>In</w:t>
      </w:r>
      <w:r>
        <w:rPr>
          <w:rFonts w:ascii="Arial" w:cs="Arial" w:eastAsia="Arial" w:hAnsi="Arial"/>
          <w:sz w:val="16"/>
          <w:szCs w:val="16"/>
          <w:color w:val="231F20"/>
        </w:rPr>
        <w:t xml:space="preserve"> 2017</w:t>
      </w:r>
      <w:r>
        <w:rPr>
          <w:rFonts w:ascii="Arial" w:cs="Arial" w:eastAsia="Arial" w:hAnsi="Arial"/>
          <w:sz w:val="16"/>
          <w:szCs w:val="16"/>
          <w:color w:val="000000"/>
        </w:rPr>
        <w:t>, the flavors and fragrances market was estimated by management to be</w:t>
      </w:r>
      <w:r>
        <w:rPr>
          <w:rFonts w:ascii="Arial" w:cs="Arial" w:eastAsia="Arial" w:hAnsi="Arial"/>
          <w:sz w:val="16"/>
          <w:szCs w:val="16"/>
          <w:color w:val="231F20"/>
        </w:rPr>
        <w:t xml:space="preserve"> </w:t>
      </w:r>
      <w:r>
        <w:rPr>
          <w:rFonts w:ascii="Arial" w:cs="Arial" w:eastAsia="Arial" w:hAnsi="Arial"/>
          <w:sz w:val="16"/>
          <w:szCs w:val="16"/>
          <w:color w:val="000000"/>
        </w:rPr>
        <w:t>approximately $24.8 billion and is forecasted to grow approximately 2-3% by 2021, primarily driven by expected growth in emerging markets.</w:t>
      </w:r>
    </w:p>
    <w:p>
      <w:pPr>
        <w:spacing w:after="0" w:line="10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Development of new flavors and fragrance compounds is driven by a variety of sources, including requests from our customers who are in need of a specific flavor or fragrance for use in a new or modified consumer product, or as a result of internal initiatives stemming from our consumer insights program. Our product development team works with our scientists and researchers to optimize the consumer appeal of the flavor or fragrance. It then becomes a collaborative process among our researchers, our product development team and our customers to perfect the flavor or fragrance so that it is ready to be included in the final consumer product.</w:t>
      </w:r>
    </w:p>
    <w:p>
      <w:pPr>
        <w:spacing w:after="0" w:line="13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May 7, 2018, we entered into a definitive agreement and plan of merger to acquire Frutarom Industries Ltd. (“Frutarom”). Frutarom is a flavors, savory solutions and natural ingredients company with production and development centers on six continents, that is traded on the Tel Aviv and London Stock Exchanges. The transaction is targeted to close in the fourth quarter of 2018, has been unanimously approved by the Boards of Directors of both companies and by the Frutarom shareholders, and is subject to clearance by the relevant regulatory authorities and other customary closing conditions. The transaction was valued, based on our stock price as of May 7, 2018, at approximately $7.1 billion, including the assumption of approximately $681 million of Frutarom's net debt, which the Company intends to refinance or repay concurrent with the closing of the transaction. See Note 3 to the Consolidated Financial Statements for additional information on the pending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Overview</w:t>
      </w:r>
    </w:p>
    <w:p>
      <w:pPr>
        <w:spacing w:after="0" w:line="171"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Effective the first quarter of 2018, we adopted new accounting guidance related to revenue recognition and the presentation of pension costs. The revenue recognition guidance was adopted effective the first day of fiscal 2018 and prior period amounts were not revised to conform to the new guidance. The adoption of the new revenue guidance did not have a material impact on our results of operations. The guidance related to the presentation of pension costs was applied retroactively and prior period amounts have been adjusted to conform to the new guidance. As noted in Note 10 to the Consolidated Financial Statements, the net effect of the change was to decrease operating profit and increase Other income.</w:t>
      </w:r>
    </w:p>
    <w:p>
      <w:pPr>
        <w:spacing w:after="0" w:line="11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Net sales during the second quarter of 2018 increased 9% on a reported basis and 5% on a currency neutral basis (which excludes the effects of changes in currency) versus the 2017 period. Reported and currency neutral sales growth were driven by new win performance (net of losses) and price increases (principally due to increases in raw material input costs) in both Flavors and Fragrances.</w:t>
      </w:r>
    </w:p>
    <w:p>
      <w:pPr>
        <w:spacing w:after="0" w:line="127"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Exchange rate variations had a 400 bps favorable impact on net sales for the second quarter of 2018. The effect of exchange rates can vary by business and region, depending upon the mix of sales priced in U.S. dollars as compared to other currencies, as well as the relative percentage of local sales priced in U.S. dollars versus local currencies.</w:t>
      </w:r>
    </w:p>
    <w:p>
      <w:pPr>
        <w:spacing w:after="0" w:line="12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Gross margins decreased to 43.3% in the second quarter of 2018 from 44.3% in the 2017 period, driven primarily by unfavorable price versus input costs (including the impact of the BASF supply disruption) which was only partially offset by cost savings and productivity initiatives. Included in the second quarter of 2018 were $0.4 million of operational improvement costs compared to $6.1 million of acquisition-related amortization of inventory "step-up" costs, operational improvement initiative costs and integration-related costs included in the second quarter of 2017. Excluding these items, gross margin decreased 202 bps compared to the prior year period. We believe that, in 2018, we will continue to see higher costs of raw materials across a range of categories (including turpentine, citrus and petro-derived products). Raw material costs incurred by our Fragrance segment continue to be impacted by the BASF supply disruption (as discussed in our 2017 Form 10-K).</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continue to seek improvements in our margins through operational performance, cost reduction efforts and mix enhancement.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FINANCIAL PERFORMANCE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260" w:firstLine="405"/>
        <w:spacing w:after="0" w:line="290" w:lineRule="auto"/>
        <w:rPr>
          <w:sz w:val="20"/>
          <w:szCs w:val="20"/>
          <w:color w:val="auto"/>
        </w:rPr>
      </w:pPr>
      <w:r>
        <w:rPr>
          <w:rFonts w:ascii="Arial" w:cs="Arial" w:eastAsia="Arial" w:hAnsi="Arial"/>
          <w:sz w:val="16"/>
          <w:szCs w:val="16"/>
          <w:color w:val="auto"/>
        </w:rPr>
        <w:t>Reported sales in the second quarter of 2018 increased approximately 9% as compared to the 2017 period. We continued to benefit from our diverse portfolio of end-use product categories and geographies and achieved currency neutral growth in all four regions. Sales growth was driven by new win performance (net of losses) and price increases (principally due to increases in raw material input costs) in both Flavors and Fragrances. Flavors achieved sales growth of 9% on a reported basis and 6% on a currency neutral basis. Fragrances achieved reported sales growth of 10% and currency neutral sales growth of 5%. Additionally, Fragrance Ingredients sales were up 16% on a reported basis and 10% on a currency neutral basis. Overall, our second quarter 2018 results continued to be driven by our strong emerging market presence that represented 47% of total sales and experienced 14% reported and 7% currency neutral growth in the second quarter 2018. From a geographic perspective, for the second quarter of 2018, North America ("NOAM"), Europe, Africa and the Middle East ("EAME"), Latin America ("LA") and Greater Asia ("GA") all delivered sales growth.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7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Operating profit increased $2.8 million to $154.5 million in the 2018 second quarter compared to $151.7 million in the comparable 2017 period while operating profit as a percentage of sales decreased to 16.8% in the 2018 second quarter compared to 18.0% in the comparable 2017 period. The second quarter of 2018 included $15.3 million of charges related to operational improvement initiatives, losses on sale of assets, the pending Frutarom acquisition related costs, restructuring and other charges, net and acquisition related costs as compared to $12.7 million of charges related to operational improvement initiatives, acquisition related costs, integration related costs, legal charges/credits, net and restructuring and other charges, net which were partially offset by gains on sale of assets and a favorable tax assessment in the 2017 period. Excluding these charges, adjusted operating profit was $169.8 million for the second quarter of 2018, an increase from $156.1 million for the second quarter of 2017, principally driven by volume growth, the impact of foreign exchange, and cost and productivity initiatives which more than offset price to input costs (including the impact of the BASF supply chain disruption). Foreign currency had a 6% favorable impact on operating profit in the 2018 period compared to a 3% unfavorable impact on operating profit in the 2017 period. Operating profit as a percentage of sales, excluding the above charges, decreased from 18.5% for the second quarter of 2018 compared to 19.5% for the second quarter of 2017, principally driven by lower margins as a result of price to input costs (including the impact of the BASF supply chain disruption), partially offset by the impact of foreign exchange, cost and productivity initiatives and volume growth.</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Interest expense increased to $53.2 million in the second quarter of 2018 compared to $17.6 million in the 2017 period driven by $10.7 million of fees incurred in connection with the bridge loan commitment and $25.0 million mark-to-market adjustments on deal-contingent interest rate derivatives entered into in connection with the pending acquisition with Frutarom.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Other (income), net increased $12.6 million to $20.7 million of income in the second quarter of 2018 compared to $7.9 million of income in the second quarter of 2017. The year-over-year increase was primarily driven by an $11.0 million mark-to-market adjustment on a foreign currency derivative entered into in connection with the pending acquisition with Frutarom.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7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Net income decreased by $10.6 million quarter-over-quarter to $99.1 million for the second quarter of 2018 from $109.8 million in the 2017 period, reflecting a small increase in operating profit, an increase in Other (income) primarily driven by the impact of foreign currency (including a foreign currency derivative related to the pending Frutarom acquisition), and offset by a large increase in interest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Cash flows provided by operations for the six months ended June 30, 2018 was $55.2 million or 3.0% of sales, compared to cash flows provided by operations of $57.9 million or 3.5% of sales for the six months ended June 30, 2017. The change in cash flows from operations in 2018 was principally driven by fees incurred in connection with the bridge loan commitment, higher working capital (principally related to inventories) and FDA mandated product recall costs, partially offset by the impact of the litigation settlement and pension contributions in 2017.</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27"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3280" w:type="dxa"/>
            <w:vAlign w:val="bottom"/>
            <w:gridSpan w:val="5"/>
          </w:tcPr>
          <w:p>
            <w:pPr>
              <w:spacing w:after="0"/>
              <w:rPr>
                <w:sz w:val="20"/>
                <w:szCs w:val="20"/>
                <w:color w:val="auto"/>
              </w:rPr>
            </w:pPr>
            <w:r>
              <w:rPr>
                <w:rFonts w:ascii="Arial" w:cs="Arial" w:eastAsia="Arial" w:hAnsi="Arial"/>
                <w:sz w:val="18"/>
                <w:szCs w:val="18"/>
                <w:b w:val="1"/>
                <w:bCs w:val="1"/>
                <w:color w:val="auto"/>
              </w:rPr>
              <w:t>Results of Operations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40" w:type="dxa"/>
            <w:vAlign w:val="bottom"/>
            <w:gridSpan w:val="4"/>
            <w:vMerge w:val="restart"/>
          </w:tcPr>
          <w:p>
            <w:pPr>
              <w:spacing w:after="0"/>
              <w:rPr>
                <w:sz w:val="20"/>
                <w:szCs w:val="20"/>
                <w:color w:val="auto"/>
              </w:rPr>
            </w:pPr>
            <w:r>
              <w:rPr>
                <w:rFonts w:ascii="Arial" w:cs="Arial" w:eastAsia="Arial" w:hAnsi="Arial"/>
                <w:sz w:val="16"/>
                <w:szCs w:val="16"/>
                <w:i w:val="1"/>
                <w:iCs w:val="1"/>
                <w:color w:val="auto"/>
              </w:rPr>
              <w:t>(DOLLARS IN THOUSANDS EXCEPT PER</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24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14"/>
                <w:szCs w:val="14"/>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100" w:type="dxa"/>
            <w:vAlign w:val="bottom"/>
            <w:vMerge w:val="restart"/>
          </w:tcPr>
          <w:p>
            <w:pPr>
              <w:jc w:val="right"/>
              <w:ind w:right="119"/>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340" w:type="dxa"/>
            <w:vAlign w:val="bottom"/>
            <w:tcBorders>
              <w:top w:val="single" w:sz="8" w:color="auto"/>
              <w:bottom w:val="single" w:sz="8" w:color="auto"/>
            </w:tcBorders>
            <w:gridSpan w:val="2"/>
          </w:tcPr>
          <w:p>
            <w:pPr>
              <w:spacing w:after="0" w:line="183" w:lineRule="exact"/>
              <w:rPr>
                <w:sz w:val="20"/>
                <w:szCs w:val="20"/>
                <w:color w:val="auto"/>
              </w:rPr>
            </w:pPr>
            <w:r>
              <w:rPr>
                <w:rFonts w:ascii="Arial" w:cs="Arial" w:eastAsia="Arial" w:hAnsi="Arial"/>
                <w:sz w:val="16"/>
                <w:szCs w:val="16"/>
                <w:i w:val="1"/>
                <w:iCs w:val="1"/>
                <w:color w:val="auto"/>
                <w:w w:val="91"/>
              </w:rPr>
              <w:t>SHARE AMOUNTS)</w:t>
            </w:r>
          </w:p>
        </w:tc>
        <w:tc>
          <w:tcPr>
            <w:tcW w:w="15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240" w:type="dxa"/>
            <w:vAlign w:val="bottom"/>
            <w:gridSpan w:val="4"/>
            <w:vMerge w:val="restart"/>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40" w:type="dxa"/>
            <w:vAlign w:val="bottom"/>
            <w:gridSpan w:val="4"/>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920,016</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842,861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1,850,944</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1,671,154</w:t>
            </w:r>
          </w:p>
        </w:tc>
        <w:tc>
          <w:tcPr>
            <w:tcW w:w="110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2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521,299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469,877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1,046,419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935,088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398,717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372,984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804,525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736,066</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Research and development (R&amp;D)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74,767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72,761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153,244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144,887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gridSpan w:val="4"/>
          </w:tcPr>
          <w:p>
            <w:pPr>
              <w:spacing w:after="0"/>
              <w:rPr>
                <w:sz w:val="20"/>
                <w:szCs w:val="20"/>
                <w:color w:val="auto"/>
              </w:rPr>
            </w:pPr>
            <w:r>
              <w:rPr>
                <w:rFonts w:ascii="Arial" w:cs="Arial" w:eastAsia="Arial" w:hAnsi="Arial"/>
                <w:sz w:val="16"/>
                <w:szCs w:val="16"/>
                <w:color w:val="auto"/>
              </w:rPr>
              <w:t>Selling and administrative (S&amp;A) expenses</w:t>
            </w:r>
          </w:p>
        </w:tc>
        <w:tc>
          <w:tcPr>
            <w:tcW w:w="32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157,407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139,319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300,051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283,023</w:t>
            </w:r>
          </w:p>
        </w:tc>
        <w:tc>
          <w:tcPr>
            <w:tcW w:w="1100" w:type="dxa"/>
            <w:vAlign w:val="bottom"/>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Amortization of acquisition-related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8,494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15,561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Restructuring and other charges, net</w:t>
            </w:r>
          </w:p>
        </w:tc>
        <w:tc>
          <w:tcPr>
            <w:tcW w:w="32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791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10,934</w:t>
            </w: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2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Losses (gains) on sales of fixed assets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Operating profit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154,509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151,687</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329,363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281,750</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53,246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17,556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69,841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30,363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(20,655)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(7,909)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161 %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(21,232)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(29,140)</w:t>
            </w: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121,918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142,040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280,754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280,527</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Taxes on income</w:t>
            </w:r>
          </w:p>
        </w:tc>
        <w:tc>
          <w:tcPr>
            <w:tcW w:w="32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22,769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32,245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52,190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54,968</w:t>
            </w: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99,149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109,795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228,564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225,559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3240" w:type="dxa"/>
            <w:vAlign w:val="bottom"/>
            <w:gridSpan w:val="4"/>
            <w:vMerge w:val="restart"/>
          </w:tcPr>
          <w:p>
            <w:pPr>
              <w:spacing w:after="0"/>
              <w:rPr>
                <w:sz w:val="20"/>
                <w:szCs w:val="20"/>
                <w:color w:val="auto"/>
              </w:rPr>
            </w:pPr>
            <w:r>
              <w:rPr>
                <w:rFonts w:ascii="Arial" w:cs="Arial" w:eastAsia="Arial" w:hAnsi="Arial"/>
                <w:sz w:val="18"/>
                <w:szCs w:val="18"/>
                <w:color w:val="auto"/>
              </w:rPr>
              <w:t>Diluted EPS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vMerge w:val="continue"/>
          </w:tcPr>
          <w:p>
            <w:pPr>
              <w:spacing w:after="0"/>
              <w:rPr>
                <w:sz w:val="20"/>
                <w:szCs w:val="20"/>
                <w:color w:val="auto"/>
              </w:rPr>
            </w:pPr>
          </w:p>
        </w:tc>
        <w:tc>
          <w:tcPr>
            <w:tcW w:w="3240" w:type="dxa"/>
            <w:vAlign w:val="bottom"/>
            <w:gridSpan w:val="4"/>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2.84</w:t>
            </w:r>
          </w:p>
        </w:tc>
        <w:tc>
          <w:tcPr>
            <w:tcW w:w="110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1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R&amp;D as a percentage of sales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1100" w:type="dxa"/>
            <w:vAlign w:val="bottom"/>
            <w:gridSpan w:val="2"/>
          </w:tcPr>
          <w:p>
            <w:pPr>
              <w:jc w:val="right"/>
              <w:ind w:right="7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S&amp;A as a percentage of sales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1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c>
          <w:tcPr>
            <w:tcW w:w="1100" w:type="dxa"/>
            <w:vAlign w:val="bottom"/>
            <w:gridSpan w:val="2"/>
          </w:tcPr>
          <w:p>
            <w:pPr>
              <w:jc w:val="right"/>
              <w:ind w:right="70"/>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240" w:type="dxa"/>
            <w:vAlign w:val="bottom"/>
            <w:gridSpan w:val="4"/>
            <w:shd w:val="clear" w:color="auto" w:fill="CCEEFF"/>
          </w:tcPr>
          <w:p>
            <w:pPr>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19.5%</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6"/>
                <w:szCs w:val="16"/>
                <w:i w:val="1"/>
                <w:iCs w:val="1"/>
                <w:color w:val="auto"/>
              </w:rPr>
              <w:t>(104)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19.2%</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i w:val="1"/>
                <w:iCs w:val="1"/>
                <w:color w:val="auto"/>
              </w:rPr>
              <w:t>(22)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w:t>
            </w:r>
          </w:p>
        </w:tc>
        <w:tc>
          <w:tcPr>
            <w:tcW w:w="1100" w:type="dxa"/>
            <w:vAlign w:val="bottom"/>
            <w:gridSpan w:val="2"/>
          </w:tcPr>
          <w:p>
            <w:pPr>
              <w:jc w:val="right"/>
              <w:ind w:right="70"/>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Segment net sales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Flavors</w:t>
            </w:r>
          </w:p>
        </w:tc>
        <w:tc>
          <w:tcPr>
            <w:tcW w:w="1960" w:type="dxa"/>
            <w:vAlign w:val="bottom"/>
            <w:tcBorders>
              <w:top w:val="single" w:sz="8" w:color="CCEEFF"/>
            </w:tcBorders>
            <w:gridSpan w:val="3"/>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450,540</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414,323</w:t>
            </w:r>
          </w:p>
        </w:tc>
        <w:tc>
          <w:tcPr>
            <w:tcW w:w="110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899,559</w:t>
            </w: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820,487</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2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Fragrances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469,476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428,538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951,385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850,667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Consolidated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920,016</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842,861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1,850,944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1,671,154</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40" w:right="20" w:hanging="316"/>
        <w:spacing w:after="0" w:line="288"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operating margin excludes $15.3 million of charges related to operational improvement initiatives, integration related costs, restructuring and other charges, net, losses on sale of assets and costs related to the pending acquisition of Frutarom which were partially offset by acquisition related costs for the three months ended June 30, 2018, and excludes $12.7 million of charges related to operational improvement initiatives, acquisition related costs, integration related costs, legal charges/credits, net, restructuring and other charges, net and FDA mandated product recall which were partially offset by gains on sales of fixed assets and a favorable legal settlement for the three months ended June 30, 2017. For the six months ended June 30, 2018, adjusted operating margin excludes $21.5 million of charges related to operational improvement initiatives, integration related costs, restructuring and other charges, net, gains on sale of assets, FDA mandated product recall and costs related to the pending acquisition of Frutarom which were partially offset by acquisition related costs, compared to the six months ended June 30, 2017 adjusted operating margin which excludes $38.7 million consisting of acquisition-related costs, costs associated with product recalls, tax assessment, legal charges, restructuring, integration-related and operational improvement initiative costs as well as gains on sales of fixed assets See "Non-GAAP Financial Measures" below.</w:t>
      </w:r>
    </w:p>
    <w:p>
      <w:pPr>
        <w:spacing w:after="0" w:line="11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Cost of goods sold includes the cost of materials and manufacturing expenses. R&amp;D includes expenses related to the development of new and improved products and technical product support. S&amp;A expenses include expenses necessary to support our commercial activities and administrative expenses supporting our overall operating activities including compliance with governmental regulations.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29" w:name="page30"/>
    <w:bookmarkEnd w:id="29"/>
    <w:p>
      <w:pPr>
        <w:ind w:right="5360"/>
        <w:spacing w:after="0" w:line="346" w:lineRule="auto"/>
        <w:rPr>
          <w:sz w:val="20"/>
          <w:szCs w:val="20"/>
          <w:color w:val="auto"/>
        </w:rPr>
      </w:pPr>
      <w:r>
        <w:rPr>
          <w:rFonts w:ascii="Arial" w:cs="Arial" w:eastAsia="Arial" w:hAnsi="Arial"/>
          <w:sz w:val="18"/>
          <w:szCs w:val="18"/>
          <w:b w:val="1"/>
          <w:bCs w:val="1"/>
          <w:u w:val="single" w:color="auto"/>
          <w:color w:val="auto"/>
        </w:rPr>
        <w:t xml:space="preserve">SECOND QUARTER 2018 IN COMPARISON TO SECOND QUARTER 2017 </w:t>
      </w:r>
      <w:r>
        <w:rPr>
          <w:rFonts w:ascii="Arial" w:cs="Arial" w:eastAsia="Arial" w:hAnsi="Arial"/>
          <w:sz w:val="18"/>
          <w:szCs w:val="18"/>
          <w:b w:val="1"/>
          <w:bCs w:val="1"/>
          <w:color w:val="auto"/>
        </w:rPr>
        <w:t>Sales</w:t>
      </w:r>
    </w:p>
    <w:p>
      <w:pPr>
        <w:spacing w:after="0" w:line="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Sales for the second quarter of 2018 totaled $920.0 million, an increase of 9% on a reported basis and 5% on a currency neutral basis as compared to the prior year quarter. Sales growth was driven by new win performance (net of losses) and price increases (principally due to increases in raw material input costs) in both Flavors and Fragrances.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Flavors sales increased 9% on a reported basis and 6% on a currency neutral basis for the second quarter of 2018 compared to the second quarter of</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2017. Sales growth reflected new win performance (net of losses) and price increases (principally due to increases in raw material input costs). Overall growth was driven by growth in all four Flavors regions and all end-use categories.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Fragrances sales increased 10% on a reported basis and 5% on a currency neutral basis for the second quarter of 2018 compared to the second quarter of</w:t>
      </w:r>
    </w:p>
    <w:p>
      <w:pPr>
        <w:spacing w:after="0" w:line="46"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2017. Sales growth reflected new win performance (net of losses) and price increases (principally due to increases in raw material input costs), which were slightly offset by volume reductions on existing business. Overall growth was driven by double-digit growth in Fragrance Ingredients, and by broad based growth in all end-use categories.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2"/>
              </w:rPr>
              <w:t>% Change in Sales - Second Quarter 2018 vs. Second Quarter 2017</w:t>
            </w:r>
          </w:p>
        </w:tc>
        <w:tc>
          <w:tcPr>
            <w:tcW w:w="5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Fine Fragrances</w:t>
            </w:r>
          </w:p>
        </w:tc>
        <w:tc>
          <w:tcPr>
            <w:tcW w:w="150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920" w:type="dxa"/>
            <w:vAlign w:val="bottom"/>
            <w:gridSpan w:val="3"/>
          </w:tcPr>
          <w:p>
            <w:pPr>
              <w:jc w:val="center"/>
              <w:ind w:right="560"/>
              <w:spacing w:after="0" w:line="153" w:lineRule="exact"/>
              <w:rPr>
                <w:sz w:val="20"/>
                <w:szCs w:val="20"/>
                <w:color w:val="auto"/>
              </w:rPr>
            </w:pPr>
            <w:r>
              <w:rPr>
                <w:rFonts w:ascii="Arial" w:cs="Arial" w:eastAsia="Arial" w:hAnsi="Arial"/>
                <w:sz w:val="14"/>
                <w:szCs w:val="14"/>
                <w:b w:val="1"/>
                <w:bCs w:val="1"/>
                <w:color w:val="auto"/>
                <w:w w:val="95"/>
              </w:rPr>
              <w:t>Total</w:t>
            </w:r>
          </w:p>
        </w:tc>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Flavors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00" w:type="dxa"/>
            <w:vAlign w:val="bottom"/>
            <w:gridSpan w:val="2"/>
          </w:tcPr>
          <w:p>
            <w:pPr>
              <w:ind w:left="340"/>
              <w:spacing w:after="0"/>
              <w:rPr>
                <w:sz w:val="20"/>
                <w:szCs w:val="20"/>
                <w:color w:val="auto"/>
              </w:rPr>
            </w:pPr>
            <w:r>
              <w:rPr>
                <w:rFonts w:ascii="Arial" w:cs="Arial" w:eastAsia="Arial" w:hAnsi="Arial"/>
                <w:sz w:val="14"/>
                <w:szCs w:val="14"/>
                <w:b w:val="1"/>
                <w:bCs w:val="1"/>
                <w:color w:val="auto"/>
              </w:rPr>
              <w:t>Fragrances</w:t>
            </w:r>
          </w:p>
        </w:tc>
        <w:tc>
          <w:tcPr>
            <w:tcW w:w="1540" w:type="dxa"/>
            <w:vAlign w:val="bottom"/>
            <w:gridSpan w:val="2"/>
            <w:vMerge w:val="continue"/>
          </w:tcPr>
          <w:p>
            <w:pPr>
              <w:spacing w:after="0"/>
              <w:rPr>
                <w:sz w:val="16"/>
                <w:szCs w:val="16"/>
                <w:color w:val="auto"/>
              </w:rPr>
            </w:pPr>
          </w:p>
        </w:tc>
        <w:tc>
          <w:tcPr>
            <w:tcW w:w="19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Fragrances</w:t>
            </w:r>
          </w:p>
        </w:tc>
        <w:tc>
          <w:tcPr>
            <w:tcW w:w="5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43"/>
        </w:trPr>
        <w:tc>
          <w:tcPr>
            <w:tcW w:w="260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9"/>
              </w:rPr>
              <w:t>16%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6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4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6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40" w:type="dxa"/>
            <w:vAlign w:val="bottom"/>
          </w:tcPr>
          <w:p>
            <w:pPr>
              <w:ind w:left="1020"/>
              <w:spacing w:after="0"/>
              <w:rPr>
                <w:sz w:val="20"/>
                <w:szCs w:val="20"/>
                <w:color w:val="auto"/>
              </w:rPr>
            </w:pPr>
            <w:r>
              <w:rPr>
                <w:rFonts w:ascii="Arial" w:cs="Arial" w:eastAsia="Arial" w:hAnsi="Arial"/>
                <w:sz w:val="18"/>
                <w:szCs w:val="18"/>
                <w:b w:val="1"/>
                <w:bCs w:val="1"/>
                <w:color w:val="auto"/>
              </w:rPr>
              <w:t>-5 %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39 %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6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4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-9 %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34 %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16 %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6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8"/>
          <w:szCs w:val="18"/>
          <w:color w:val="auto"/>
        </w:rPr>
        <w:t>Currency neutral sales growth is calculated by translating prior year sales at the exchange rates for the corresponding 2018 period.</w:t>
      </w:r>
    </w:p>
    <w:p>
      <w:pPr>
        <w:spacing w:after="0" w:line="156" w:lineRule="exact"/>
        <w:rPr>
          <w:rFonts w:ascii="Arial" w:cs="Arial" w:eastAsia="Arial" w:hAnsi="Arial"/>
          <w:sz w:val="16"/>
          <w:szCs w:val="16"/>
          <w:color w:val="auto"/>
        </w:rPr>
      </w:pPr>
    </w:p>
    <w:p>
      <w:pPr>
        <w:ind w:left="660" w:right="120" w:hanging="328"/>
        <w:spacing w:after="0" w:line="259"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NOAM Flavors sales growth primarily reflected double-digit growth in Dairy, high single-digit growth in Beverage, mid single-digit growth in Savory, and low single-digit growth in Sweet. Total Fragrances sales growth reflected double-digit gains in Toiletries, Hair Care and Fragrance Ingredients and low single-digit gains in Fine Fragrances and Fabric Care. These gains were partially offset by mid single-digit declines in Personal Wash and low single-digit declines in Home Care.</w:t>
      </w:r>
    </w:p>
    <w:p>
      <w:pPr>
        <w:spacing w:after="0" w:line="132" w:lineRule="exact"/>
        <w:rPr>
          <w:rFonts w:ascii="Arial" w:cs="Arial" w:eastAsia="Arial" w:hAnsi="Arial"/>
          <w:sz w:val="18"/>
          <w:szCs w:val="18"/>
          <w:color w:val="auto"/>
        </w:rPr>
      </w:pPr>
    </w:p>
    <w:p>
      <w:pPr>
        <w:ind w:left="660" w:right="140" w:hanging="328"/>
        <w:spacing w:after="0" w:line="312" w:lineRule="auto"/>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EAME Flavors sales experienced high single-digit gains in Dairy and Beverage, and mid single-digit growth in Sweet and Savory. Total Fragrances sales growth was driven mainly by double-digit growth in Hair Care, high single-digit gains in Toiletries and Personal Wash, and low single-digit gains in Fabric Care and Home Care. These gains were partially offset by low single-digit declines in Fine Fragrances and Fragrance Ingredients.</w:t>
      </w:r>
    </w:p>
    <w:p>
      <w:pPr>
        <w:spacing w:after="0" w:line="92" w:lineRule="exact"/>
        <w:rPr>
          <w:rFonts w:ascii="Arial" w:cs="Arial" w:eastAsia="Arial" w:hAnsi="Arial"/>
          <w:sz w:val="16"/>
          <w:szCs w:val="16"/>
          <w:color w:val="auto"/>
        </w:rPr>
      </w:pPr>
    </w:p>
    <w:p>
      <w:pPr>
        <w:ind w:left="660" w:right="100" w:hanging="328"/>
        <w:spacing w:after="0" w:line="259"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LA Flavors sales included double-digit gains in Savory and Dairy and mid single-digit gains in Beverage, which were partially offset by mid single-digit declines in Sweet. Total Fragrances sales growth reflected double-digit gains in Home Care, high single-digit gains in Fine Fragrances, Hair Care and Fabric Care, and mid single-digit gains in Fragrance Ingredients. These gains more than offset double-digit declines in Toiletries and mid single-digit declines in Personal Wash.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30" w:name="page31"/>
    <w:bookmarkEnd w:id="30"/>
    <w:p>
      <w:pPr>
        <w:ind w:left="660" w:right="4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 Flavors sales growth primarily reflected double-digit gains in Savory, high single-digit gains in Sweet, mid single-digit gains in Dairy, and low single-digit gains in Beverage. Total Fragrances sales growth was principally driven by double-digit gains in Toiletries, Home Care and Fragrance Ingredients, mid single-digit gains in Hair Care, and low single-digit gains Fabric Care and Personal Wash. These gains more than offset high single-digit declines in Fine Fragrances.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Cost of goods sold, as a percentage of sales, increased 100 bps to 56.7% in the second quarter of 2018 compared to 55.7% in the second quarter of 2017, principally driven by unfavorable price versus input costs (including the impact of the BASF supply chain disruption) and the impact of foreign exchange, which were only partially offset by cost savings and productivity initiatives.</w:t>
      </w:r>
    </w:p>
    <w:p>
      <w:pPr>
        <w:spacing w:after="0" w:line="4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Included in cost of goods sold was $0.4 million of operational improvement initiative costs in the second quarter of 2018, as compared to $6.1 million of acquisition-related amortization of inventory "step-up" costs, operational improvement initiative costs and integration-related costs and $3.5 million related to an FDA mandated product recall in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Overall R&amp;D expenses, as a percentage of sales, decreased to 8.1% in the second quarter of 2018 versus 8.6% in the second quarter of 2017. The decrease in 2018 was principally driven by the effect of foreign currency, and, to a lesser extent, lower personnel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S&amp;A expenses increased $18.1 million to $157.4 million, or 17.1% as a percentage of sales, in the second quarter of 2018 compared to $139.3 million, or 16.5% as a percentage of sales, in the second quarter of 2017. The $18.1 million increase from the comparable quarter of the prior year was principally due to the effect of approximately $12.5 million of professional fees and services related to the pending acquisition of Frutarom. Included in 2018 was approximately $12.5 million of Frutarom acquisition related costs, and included in 2017 was approximately $2.2 million of expense related to legal charges and acquisition and integration-related costs. Excluding these costs, adjusted S&amp;A expense increased by $7.8 million and was 15.8% of sales in 2018 compared to 16.3% of sales in 2017, principally due to the effect of foreign currency and increased personnel costs for new and existing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Productivity Program</w:t>
      </w:r>
    </w:p>
    <w:p>
      <w:pPr>
        <w:spacing w:after="0" w:line="9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February 15, 2017, we announced that we were adopting a multi-year productivity program designed to improve overall financial performance, provide flexibility to invest in growth opportunities and drive long-term value creation. In connection with this program, we expect to optimize our global footprint and simplify our organizational structure globally. We expect to incur cumulative, pre-tax cash charges of between $30-$35 million, consisting primarily of $24-$26 million in personnel-related costs and an estimated $6 million in facility-related costs, such as lease termination, and integration-related costs.</w:t>
      </w:r>
    </w:p>
    <w:p>
      <w:pPr>
        <w:spacing w:after="0" w:line="134"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We recorded $1.2 million and $3.1 million of charges related to personnel costs and lease termination costs during the three months ended June 30, 2018 and 2017, respectively, with the remainder of the personnel related and other costs expected to be recognized by the end of 2018.</w:t>
      </w:r>
    </w:p>
    <w:p>
      <w:pPr>
        <w:spacing w:after="0" w:line="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made payments of $2.8 million related to severance in 2018. The overall charges were split approximately evenly between Flavors and Fragrances. This initiative is expected to result in the reduction of approximately 370 members of our global workforce, including acquired entities, in various parts of the organization.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94"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Amortization expenses increased to $9.6 million in the second quarter of 2018 compared to $8.5 million in the second quarter of 2017. The increase was principally driven by the impact of the acquisitions of Fragrance Resources and PowderPure in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evaluate the performance of business units based on segment profit which is defined as operating profit before Restructuring and other charges, net; Global expenses (as discussed in Note 9 to the Consolidated Financial Statements)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certain non-recurring items, net; Interest expense; Other (expense) income, net; and Taxes on income. See Note 9 to the Consolidated Financial Statements for the reconciliation to Income before taxes.</w:t>
      </w:r>
    </w:p>
    <w:p>
      <w:pPr>
        <w:spacing w:after="0" w:line="112"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34290</wp:posOffset>
            </wp:positionV>
            <wp:extent cx="21780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9"/>
                <w:szCs w:val="19"/>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4"/>
        </w:trPr>
        <w:tc>
          <w:tcPr>
            <w:tcW w:w="7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920" w:type="dxa"/>
            <w:vAlign w:val="bottom"/>
            <w:gridSpan w:val="2"/>
          </w:tcPr>
          <w:p>
            <w:pPr>
              <w:ind w:left="34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109,605</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96,840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80,780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80,993</w:t>
            </w:r>
          </w:p>
        </w:tc>
      </w:tr>
      <w:tr>
        <w:trPr>
          <w:trHeight w:val="243"/>
        </w:trPr>
        <w:tc>
          <w:tcPr>
            <w:tcW w:w="40" w:type="dxa"/>
            <w:vAlign w:val="bottom"/>
          </w:tcPr>
          <w:p>
            <w:pPr>
              <w:spacing w:after="0"/>
              <w:rPr>
                <w:sz w:val="21"/>
                <w:szCs w:val="21"/>
                <w:color w:val="auto"/>
              </w:rPr>
            </w:pPr>
          </w:p>
        </w:tc>
        <w:tc>
          <w:tcPr>
            <w:tcW w:w="7920" w:type="dxa"/>
            <w:vAlign w:val="bottom"/>
            <w:gridSpan w:val="2"/>
          </w:tcPr>
          <w:p>
            <w:pPr>
              <w:ind w:left="340"/>
              <w:spacing w:after="0"/>
              <w:rPr>
                <w:sz w:val="20"/>
                <w:szCs w:val="20"/>
                <w:color w:val="auto"/>
              </w:rPr>
            </w:pPr>
            <w:r>
              <w:rPr>
                <w:rFonts w:ascii="Arial" w:cs="Arial" w:eastAsia="Arial" w:hAnsi="Arial"/>
                <w:sz w:val="18"/>
                <w:szCs w:val="18"/>
                <w:color w:val="auto"/>
              </w:rPr>
              <w:t>Global expenses</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(20,572)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(13,488)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(445)</w:t>
            </w:r>
          </w:p>
        </w:tc>
      </w:tr>
      <w:tr>
        <w:trPr>
          <w:trHeight w:val="243"/>
        </w:trPr>
        <w:tc>
          <w:tcPr>
            <w:tcW w:w="7960" w:type="dxa"/>
            <w:vAlign w:val="bottom"/>
            <w:gridSpan w:val="3"/>
          </w:tcPr>
          <w:p>
            <w:pPr>
              <w:ind w:left="40"/>
              <w:spacing w:after="0"/>
              <w:rPr>
                <w:sz w:val="20"/>
                <w:szCs w:val="20"/>
                <w:color w:val="auto"/>
              </w:rPr>
            </w:pPr>
            <w:r>
              <w:rPr>
                <w:rFonts w:ascii="Arial" w:cs="Arial" w:eastAsia="Arial" w:hAnsi="Arial"/>
                <w:sz w:val="18"/>
                <w:szCs w:val="18"/>
                <w:color w:val="auto"/>
              </w:rPr>
              <w:t>Acquisition Related Costs</w:t>
            </w: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(6,278)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Integration Related Costs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(731)</w:t>
            </w:r>
          </w:p>
        </w:tc>
      </w:tr>
      <w:tr>
        <w:trPr>
          <w:trHeight w:val="243"/>
        </w:trPr>
        <w:tc>
          <w:tcPr>
            <w:tcW w:w="7960" w:type="dxa"/>
            <w:vAlign w:val="bottom"/>
            <w:gridSpan w:val="3"/>
          </w:tcPr>
          <w:p>
            <w:pPr>
              <w:ind w:left="40"/>
              <w:spacing w:after="0"/>
              <w:rPr>
                <w:sz w:val="20"/>
                <w:szCs w:val="20"/>
                <w:color w:val="auto"/>
              </w:rPr>
            </w:pPr>
            <w:r>
              <w:rPr>
                <w:rFonts w:ascii="Arial" w:cs="Arial" w:eastAsia="Arial" w:hAnsi="Arial"/>
                <w:sz w:val="18"/>
                <w:szCs w:val="18"/>
                <w:color w:val="auto"/>
              </w:rPr>
              <w:t>Legal Charges/Credits, net</w:t>
            </w:r>
          </w:p>
        </w:tc>
        <w:tc>
          <w:tcPr>
            <w:tcW w:w="3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(1,000)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Assessment</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r>
      <w:tr>
        <w:trPr>
          <w:trHeight w:val="243"/>
        </w:trPr>
        <w:tc>
          <w:tcPr>
            <w:tcW w:w="7960" w:type="dxa"/>
            <w:vAlign w:val="bottom"/>
            <w:gridSpan w:val="3"/>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(791)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Losses (Gains) on Sale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r>
      <w:tr>
        <w:trPr>
          <w:trHeight w:val="243"/>
        </w:trPr>
        <w:tc>
          <w:tcPr>
            <w:tcW w:w="7960" w:type="dxa"/>
            <w:vAlign w:val="bottom"/>
            <w:gridSpan w:val="3"/>
          </w:tcPr>
          <w:p>
            <w:pPr>
              <w:ind w:left="40"/>
              <w:spacing w:after="0"/>
              <w:rPr>
                <w:sz w:val="20"/>
                <w:szCs w:val="20"/>
                <w:color w:val="auto"/>
              </w:rPr>
            </w:pPr>
            <w:r>
              <w:rPr>
                <w:rFonts w:ascii="Arial" w:cs="Arial" w:eastAsia="Arial" w:hAnsi="Arial"/>
                <w:sz w:val="18"/>
                <w:szCs w:val="18"/>
                <w:color w:val="auto"/>
              </w:rPr>
              <w:t>FDA Mandated Product Recall</w:t>
            </w:r>
          </w:p>
        </w:tc>
        <w:tc>
          <w:tcPr>
            <w:tcW w:w="3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(3,500)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Frutarom Acquisition Related Costs</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37"/>
        </w:trPr>
        <w:tc>
          <w:tcPr>
            <w:tcW w:w="796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154,509</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151,687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Profit margin:</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920" w:type="dxa"/>
            <w:vAlign w:val="bottom"/>
            <w:gridSpan w:val="2"/>
          </w:tcPr>
          <w:p>
            <w:pPr>
              <w:ind w:left="340"/>
              <w:spacing w:after="0"/>
              <w:rPr>
                <w:sz w:val="20"/>
                <w:szCs w:val="20"/>
                <w:color w:val="auto"/>
              </w:rPr>
            </w:pPr>
            <w:r>
              <w:rPr>
                <w:rFonts w:ascii="Arial" w:cs="Arial" w:eastAsia="Arial" w:hAnsi="Arial"/>
                <w:sz w:val="18"/>
                <w:szCs w:val="18"/>
                <w:color w:val="auto"/>
              </w:rPr>
              <w:t>Flavors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40" w:type="dxa"/>
            <w:vAlign w:val="bottom"/>
          </w:tcPr>
          <w:p>
            <w:pPr>
              <w:spacing w:after="0"/>
              <w:rPr>
                <w:sz w:val="21"/>
                <w:szCs w:val="21"/>
                <w:color w:val="auto"/>
              </w:rPr>
            </w:pPr>
          </w:p>
        </w:tc>
        <w:tc>
          <w:tcPr>
            <w:tcW w:w="792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ind w:right="140" w:firstLine="432"/>
        <w:spacing w:after="0" w:line="334" w:lineRule="auto"/>
        <w:rPr>
          <w:sz w:val="20"/>
          <w:szCs w:val="20"/>
          <w:color w:val="auto"/>
        </w:rPr>
      </w:pPr>
      <w:r>
        <w:rPr>
          <w:rFonts w:ascii="Arial" w:cs="Arial" w:eastAsia="Arial" w:hAnsi="Arial"/>
          <w:sz w:val="16"/>
          <w:szCs w:val="16"/>
          <w:color w:val="auto"/>
        </w:rPr>
        <w:t>Flavors segment profit increased $12.8 million to $109.6 million in the second quarter of 2018 (24.3% of segment sales) from $96.8 million (23.4% of sales) in the comparable 2017 period. The increase principally reflected new win performance and the impact of cost savings and productivity initiatives.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Fragrances segment profit decreased $0.2 million to $80.8 million in the second quarter of 2018 (17.2% of segment sales) from $81.0 million (18.9% of sales) in the comparable 2017 period. Segment profit included the impact of unfavorable price versus input costs primarily due to the impact of the BASF supply chain disruption, partially offset by higher volumes and the impact of cost savings and productivity initiatives.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Global expenses represent corporate and headquarters-related expenses which include legal, finance, human resources and R&amp;D and other administrative expenses that are not allocated to an individual business unit. In the second quarter of 2018, Global expenses were $20.6 million compared to $13.5 million during the second quarter of 2017. The increase was principally driven by lower gains from our currency hedging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Interest expense increased to $53.2 million in the second quarter of 2018 compared to $17.6 million in the 2017 period driven by $10.7 million of fees incurred in connection with the bridge loan commitment and $25.0 million mark-to-market adjustment on two interest rate derivatives entered into in connection with the pending acquisition of Frutarom. Average cost of debt was 3.9% for the 2018 period compared to 4.6% for the 2017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Other (income) expense, net increased by approximately $12.6 million to $20.7 million in income in the second quarter of 2018 versus $7.9 million of income in the comparable 2017 period. The year-over-year increase was primarily driven by an $11.0 million mark-to-market adjustment on a foreign currency derivative entered into in connection with the pending acquisition of Frutarom.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effective tax rate for the three months ended June 30, 2018 was 18.7% compared with 22.7% for the three months ended June 30, 2017. The year-over-year decrease was largely due to a more favorable mix of earnings, a lower cost of repatriation and the re-measurement of loss provisions, partially offset by the impact from U.S. tax reform and other items (including the impact of current year transaction costs and certain non-taxable gains on foreign currency in prior year). Excluding the $7.0 million tax benefit associated with the pre-tax restructuring, operational improvement initiatives, gain on sale of fixed assets and Frutarom acquisition related costs, the adjusted effective tax rate for three months ended June 30, 2018 was 18.4%. For the second quarter of 2017, the adjusted tax rate was 23.0% excluding the $3.3 million tax benefit associated with the pre-tax acquisition-related costs, costs associated with product recalls, legal charges, restructuring, integration-related and operational improvement initiative costs as partially offset by the tax charge associated with gains on sales of fixed assets. The year-over-year decrease was largely due to a more favorable mix of earnings, repatriation costs and the re-measurement of loss provisions, partially offset by the impact from U.S. tax reform.</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U.S. Tax Reform</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that significantly revised the U.S. tax code effective January 1, 2018 by, among other things, lowering the corporate income tax rate from a top marginal rate of 35% to a flat 21%, limiting deductibility of interest expense and performance based incentive compensation, transitioning to a territorial system and creating new taxes associated with global operations.</w:t>
      </w:r>
    </w:p>
    <w:p>
      <w:pPr>
        <w:spacing w:after="0" w:line="133"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In the fourth quarter of 2017, the Company recorded approximately $139.2 million in charges related to the impact of the Tax Act. Given the significant complexity of the Tax Act, anticipated guidance from the U.S. Treasury about implementing the Tax Act and the potential for additional guidance from the SEC or the FASB, the amount recorded by the Company in the fourth quarter of 2017 was provisional and will continue to be adjusted during 2018. The impact of the Tax Act is expected to be finalized no later than the fourth quarter of 2018. The aforementioned guidance and additional information regarding the Tax Act may also impact the Company's 2018 effective income tax rate, exclusive of any adjustment to the provisional charge. Any material revisions in our computations could adversely affect our cash flows and results of operations.</w:t>
      </w:r>
    </w:p>
    <w:p>
      <w:pPr>
        <w:spacing w:after="0" w:line="120" w:lineRule="exact"/>
        <w:rPr>
          <w:sz w:val="20"/>
          <w:szCs w:val="20"/>
          <w:color w:val="auto"/>
        </w:rPr>
      </w:pPr>
    </w:p>
    <w:p>
      <w:pPr>
        <w:ind w:right="5280"/>
        <w:spacing w:after="0" w:line="440" w:lineRule="auto"/>
        <w:rPr>
          <w:sz w:val="20"/>
          <w:szCs w:val="20"/>
          <w:color w:val="auto"/>
        </w:rPr>
      </w:pPr>
      <w:r>
        <w:rPr>
          <w:rFonts w:ascii="Arial" w:cs="Arial" w:eastAsia="Arial" w:hAnsi="Arial"/>
          <w:sz w:val="18"/>
          <w:szCs w:val="18"/>
          <w:b w:val="1"/>
          <w:bCs w:val="1"/>
          <w:u w:val="single" w:color="auto"/>
          <w:color w:val="auto"/>
        </w:rPr>
        <w:t xml:space="preserve">FIRST SIX MONTHS 2018 IN COMPARISON TO FIRST SIX MONTHS 2017 </w:t>
      </w:r>
      <w:r>
        <w:rPr>
          <w:rFonts w:ascii="Arial" w:cs="Arial" w:eastAsia="Arial" w:hAnsi="Arial"/>
          <w:sz w:val="18"/>
          <w:szCs w:val="18"/>
          <w:b w:val="1"/>
          <w:bCs w:val="1"/>
          <w:color w:val="auto"/>
        </w:rPr>
        <w:t>Sales</w:t>
      </w:r>
    </w:p>
    <w:p>
      <w:pPr>
        <w:spacing w:after="0" w:line="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Sales for the first six months of 2018 totaled $1.9 billion, an increase of 11% from the 2017 period. On a currency neutral basis sales increased 6%. Sales growth reflected new win performance (net of losses), price increases (principally due to increases in raw material input costs) and volume increases on existing business in Fragrances.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171"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Flavors sales increased 10% on a reported basis and increased 6% on a currency neutral basis during the first six months of 2018 compared to the 2017 period. Sales growth reflected new win performance and price increases (principally due to increases in raw material input costs). Overall growth was primarily driven by high single-digit to double-digit growth in all four Flavors end-use categories and growth in all regions, led by EAME.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171"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Fragrances sales increased 12% on a reported basis and 6% on a currency neutral basis for the first six months of 2018 compared to the 2017 period. Sales growth reflected new win performance, price increases (principally due to increases in raw material input costs) and volume increases on existing business. Overall growth was primarily driven by double-digit growth in Fragrance Ingredients, and by broad based growth in all end-use categories.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23" w:right="239" w:bottom="1440" w:gutter="0" w:footer="0" w:header="0"/>
        </w:sectPr>
      </w:pPr>
    </w:p>
    <w:bookmarkStart w:id="33" w:name="page34"/>
    <w:bookmarkEnd w:id="33"/>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gridSpan w:val="7"/>
          </w:tcPr>
          <w:p>
            <w:pPr>
              <w:ind w:left="760"/>
              <w:spacing w:after="0"/>
              <w:rPr>
                <w:sz w:val="20"/>
                <w:szCs w:val="20"/>
                <w:color w:val="auto"/>
              </w:rPr>
            </w:pPr>
            <w:r>
              <w:rPr>
                <w:rFonts w:ascii="Arial" w:cs="Arial" w:eastAsia="Arial" w:hAnsi="Arial"/>
                <w:sz w:val="14"/>
                <w:szCs w:val="14"/>
                <w:b w:val="1"/>
                <w:bCs w:val="1"/>
                <w:color w:val="auto"/>
              </w:rPr>
              <w:t>% Change in Sales - First Six Months 2018 vs. First Six Months 2017</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Fine Fragrances</w:t>
            </w:r>
          </w:p>
        </w:tc>
        <w:tc>
          <w:tcPr>
            <w:tcW w:w="150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5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Total</w:t>
            </w:r>
          </w:p>
        </w:tc>
        <w:tc>
          <w:tcPr>
            <w:tcW w:w="96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96"/>
              </w:rPr>
              <w:t>Flavors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0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00" w:type="dxa"/>
            <w:vAlign w:val="bottom"/>
            <w:gridSpan w:val="2"/>
            <w:vMerge w:val="continue"/>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Fragrances</w:t>
            </w:r>
          </w:p>
        </w:tc>
        <w:tc>
          <w:tcPr>
            <w:tcW w:w="9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9"/>
              </w:rPr>
              <w:t>20%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8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8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21 %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8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8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8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41%</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8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9"/>
              </w:rPr>
              <w:t>10%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8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2017 period.</w:t>
      </w:r>
    </w:p>
    <w:p>
      <w:pPr>
        <w:spacing w:after="0" w:line="171" w:lineRule="exact"/>
        <w:rPr>
          <w:rFonts w:ascii="Arial" w:cs="Arial" w:eastAsia="Arial" w:hAnsi="Arial"/>
          <w:sz w:val="18"/>
          <w:szCs w:val="18"/>
          <w:color w:val="auto"/>
        </w:rPr>
      </w:pPr>
    </w:p>
    <w:p>
      <w:pPr>
        <w:ind w:left="660" w:hanging="328"/>
        <w:spacing w:after="0" w:line="312"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NOAM Flavors sales growth was led by double-digit growth in Dairy, high single-digit growth in Beverage, and mid single-digit growth in Savory and Sweet. Total Fragrances sales growth reflected double-digit gains in Toiletries, Hair Care and Fragrance Ingredients, high single-digit gains in Home Care and Fabric Wash, and mid single-digit gains in Fine Fragrances. These gains more than offset low single-digit declines in Personal Wash.</w:t>
      </w:r>
    </w:p>
    <w:p>
      <w:pPr>
        <w:spacing w:after="0" w:line="92" w:lineRule="exact"/>
        <w:rPr>
          <w:rFonts w:ascii="Arial" w:cs="Arial" w:eastAsia="Arial" w:hAnsi="Arial"/>
          <w:sz w:val="16"/>
          <w:szCs w:val="16"/>
          <w:color w:val="auto"/>
        </w:rPr>
      </w:pPr>
    </w:p>
    <w:p>
      <w:pPr>
        <w:ind w:left="660" w:hanging="328"/>
        <w:spacing w:after="0" w:line="259"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EAME Flavors sales experienced double-digit gains in Beverage and Dairy, high single-digit gains in Savory and low single-digit gains in Sweet. Total Fragrances sales growth was driven mainly by double-digit growth in Hair Care and Toiletries, high single-digit gains in Fragrance Ingredients, mid single-digit gains in Home Care and Personal Wash, and low single-digit gains in Fabric Care. These gains more than offset low single-digit declines in Fine Fragrances.</w:t>
      </w:r>
    </w:p>
    <w:p>
      <w:pPr>
        <w:spacing w:after="0" w:line="132" w:lineRule="exact"/>
        <w:rPr>
          <w:rFonts w:ascii="Arial" w:cs="Arial" w:eastAsia="Arial" w:hAnsi="Arial"/>
          <w:sz w:val="18"/>
          <w:szCs w:val="18"/>
          <w:color w:val="auto"/>
        </w:rPr>
      </w:pPr>
    </w:p>
    <w:p>
      <w:pPr>
        <w:ind w:left="660" w:right="120" w:hanging="328"/>
        <w:spacing w:after="0" w:line="259"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LA Flavors sales growth was driven by double-digit gains in Savory and Dairy, which were partially offset by mid single-digit declines in Sweet. Total Fragrances sales growth reflected double-digit gains in Fine Fragrances and Fragrance Ingredients, high single-digit gains in Fabric Care, mid single-digit gains in Hair Care, and low single-digit gains in Home Care and Personal Wash. These gains more than offset low single-digit declines in Toiletries.</w:t>
      </w:r>
    </w:p>
    <w:p>
      <w:pPr>
        <w:spacing w:after="0" w:line="132" w:lineRule="exact"/>
        <w:rPr>
          <w:rFonts w:ascii="Arial" w:cs="Arial" w:eastAsia="Arial" w:hAnsi="Arial"/>
          <w:sz w:val="18"/>
          <w:szCs w:val="18"/>
          <w:color w:val="auto"/>
        </w:rPr>
      </w:pPr>
    </w:p>
    <w:p>
      <w:pPr>
        <w:ind w:left="660" w:right="260" w:hanging="328"/>
        <w:spacing w:after="0" w:line="259"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GA Flavors sales experienced high single-digit gains in Savory and Sweet and low single-digit gains in Dairy, which were partially offset by low single-digit declines in Beverage. Total Fragrances sales growth was driven by double-digit gains in Toiletries, Home Care and Fragrance Ingredients, mid single-digit gains in Fabric Care and low single-digit gains in Hair Care and Personal Wash, which more than offset double-digit declines in Fine Ingredients.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17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Cost of goods sold, as a percentage of sales, increased 50 bps to 56.5% in the first six months of 2018 compared to 56.0% in the 2017 period, principally driven by unfavorable price versus input costs and the effect of the BASF supply chain disruption, which were only partially offset by cost savings and productivity initiatives and manufacturing performance. Included in cost of goods sold were $21.5 million of acquisition-related amortization of inventory "step-up", operational improvement initiative and integration-related costs, restructuring charges, losses on sales of assets, FDA mandated product recall costs and Frutarom acquisition related costs in 2018 compared to $38.7 million of acquisition-related amortization of inventory "step-up", operational improvement initiative, integration and restructuring costs, legal charges, tax assessments, gain on sales of assets and FDA mandated product recall costs in 2017.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Overall R&amp;D expenses, as a percentage of sales, decreased to 8.3% in the first six months of 2018 versus 8.7% in the 2017 period. This decrease was primarily driven by the effect of foreign currency and lower personnel costs.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746"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175" w:lineRule="exact"/>
        <w:rPr>
          <w:sz w:val="20"/>
          <w:szCs w:val="20"/>
          <w:color w:val="auto"/>
        </w:rPr>
      </w:pPr>
    </w:p>
    <w:p>
      <w:pPr>
        <w:jc w:val="both"/>
        <w:ind w:right="240" w:firstLine="432"/>
        <w:spacing w:after="0" w:line="302" w:lineRule="auto"/>
        <w:rPr>
          <w:sz w:val="20"/>
          <w:szCs w:val="20"/>
          <w:color w:val="auto"/>
        </w:rPr>
      </w:pPr>
      <w:r>
        <w:rPr>
          <w:rFonts w:ascii="Arial" w:cs="Arial" w:eastAsia="Arial" w:hAnsi="Arial"/>
          <w:sz w:val="16"/>
          <w:szCs w:val="16"/>
          <w:color w:val="auto"/>
        </w:rPr>
        <w:t>S&amp;A expenses increased $17.0 million to $300.1 million or 16.2%, as a percentage of sales, in the first six months of 2018 compared to 16.9% in the 2017 period. The $17.0 million increase was principally due expenses of $12.5 million related to the pending acquisition of Frutarom. Excluding the $12.5 million included in 2018 and $2.2 million of legal charges, acquisition and integration-related costs, and legal charges in 2017, adjusted S&amp;A expenses increased by $17.1 million and was 15.6% of sales in 2018 compared to 16.2% in 2017 principally due to the effect of foreign currency.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Productivity Program</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recorded $22.5 million of charges related to personnel costs and lease termination costs through the second quarter of 2018, with the remainder of the personnel related and other costs expected to be recognized by the end of 2018. We recorded $1.9 million and $13.2 million of charges related to personnel costs and lease termination costs during the six months ended June 30, 2018 and 2017,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17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Amortization expenses increased to $18.8 million in the first six months of 2018 compared to $15.6 million in the 2017 period. The increase was principally driven by the impact of the acquisitions of Fragrance Resources and PowderPure in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175"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9 to the Consolidated Financial Statements) and certain non-recurring items, net, Interest expense, Other (expense) income, net and Taxes on income. See Note 9 to the Consolidated Financial Statements for the reconciliation to Income before taxes.</w:t>
      </w:r>
    </w:p>
    <w:p>
      <w:pPr>
        <w:spacing w:after="0" w:line="251" w:lineRule="exact"/>
        <w:rPr>
          <w:sz w:val="20"/>
          <w:szCs w:val="20"/>
          <w:color w:val="auto"/>
        </w:rPr>
      </w:pPr>
    </w:p>
    <w:p>
      <w:pPr>
        <w:ind w:left="864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34290</wp:posOffset>
            </wp:positionV>
            <wp:extent cx="21780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221,169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191,395</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174,056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158,867</w:t>
            </w: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(44,398)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(29,781)</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(1,066)</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Acquisition Related Costs</w:t>
            </w: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(15,066)</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 Related Costs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(1,923)</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Legal Charges/Credits, net</w:t>
            </w:r>
          </w:p>
        </w:tc>
        <w:tc>
          <w:tcPr>
            <w:tcW w:w="3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(1,000)</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Assessment</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(5,331)</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(10,934)</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on Sale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FDA Mandated Product Recall</w:t>
            </w: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(3,500)</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Frutarom Acquisition Related Costs</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329,363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281,750</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 margin:</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w:t>
            </w: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17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Flavors segment profit increased to $221.2 million in the first six months of 2018, or 24.6% as a percentage of sales, compared to $191.4 million, or 23.3% as a percentage of sales, in the comparable 2017 period. The increase in segment profit principally reflected new win performance, the benefit of cost savings and productivity initiatives and the impact of foreign currency.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2" w:right="239" w:bottom="1440" w:gutter="0" w:footer="0" w:header="0"/>
        </w:sectPr>
      </w:pPr>
    </w:p>
    <w:bookmarkStart w:id="35" w:name="page36"/>
    <w:bookmarkEnd w:id="35"/>
    <w:p>
      <w:pPr>
        <w:ind w:left="26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171"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Fragrances segment profit increased to $174.1 million in the first six months of 2018, or 18.3% as a percentage of sales, compared to $158.9 million, or 18.7% as a percentage of sales, in the comparable 2017 period. Segment profit included the impact of unfavorable price versus input costs primarily due to the BASF supply chain disruption, partially offset by higher volumes and the impact of cost savings and productivity initiatives.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17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first six months of 2018, Global expenses were $44.4 million compared to $29.8 million during the first six months of 2017. The increase was principally driven by lower benefits from our currency hedging program and higher incentive compensation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Interest expense increased to $69.8 million in the first six months of 2018 compared to $30.4 million in the 2017 period driven by $10.7 million of fees incurred in connection with the bridge loan commitment and $25.0 million mark-to-market adjustment on two interest rate derivatives entered into in connection with the pending acquisition of Frutarom. Average cost of debt was 3.9% for the 2018 period compared to 4.1% for the 2017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Other (income) expense, net decreased by approximately $7.9 million to $21.2 million of income in the first six months of 2018 versus $29.1 million of income in the comparable 2017 period. The year-over-year decrease was primarily driven by lower foreign exchange gains and the release of a currency translation adjustment upon the liquidation of a foreign entity in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effective tax rate for the six months ended June 30, 2018 was 18.6% compared with 19.6% for the six months ended June 30, 2017. The year-over-year decrease was largely due to more favorable mix of earnings, a lower cost of repatriation, the re-measurement of loss provisions and the release of a State valuation allowance related to prior years, partially offset by the impact of U.S. tax reform and other items (including the impact of current year transaction costs and certain non-taxable gains on foreign currency in prior year. Excluding the $7,852 tax benefit associated with the pre-tax restructuring, operational improvement initiatives, losses on sales of fixed assets, FDA mandated product recall costs and Frutarom acquisition related costs, which were partially offset by the tax charge associated with acquisition-related costs and the impact of the U.S. tax reform, the adjusted effective tax rate for six months ended June 30, 2018 was 18.4%. For the six months of 2017, the adjusted tax rate was 21.8% excluding the $11,821 tax benefit associated with the pre-tax restructuring, acquisition-related, integration-related and operational improvement initiative costs as well as a tax assessment, favorable legal charges and FDA mandated product recall which were only partially offset by the tax charge associated with gains on sales of fixed assets. The year-over-year decrease was largely due to more favorable mix of earnings, a lower cost of repatriation, the re-measurement of loss provisions and the release of a State valuation allowance related to prior years, partially offset by the impact of U.S. tax reform and other items.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U.S. Tax Reform</w:t>
      </w:r>
    </w:p>
    <w:p>
      <w:pPr>
        <w:spacing w:after="0" w:line="17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that significantly revised the U.S. tax code effective January 1, 2018 by, among other things, lowering the corporate income tax rate from a top marginal rate of 35% to a flat 21%, limiting deductibility of interest expense and performance based incentive compensation, transitioning to a territorial system and creating new taxes associated with global operations.</w:t>
      </w:r>
    </w:p>
    <w:p>
      <w:pPr>
        <w:spacing w:after="0" w:line="133"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In the fourth quarter of 2017, the Company recorded approximately $139.2 million in charges related to the impact of the Tax Act. Given the significant complexity of the Tax Act, anticipated guidance from the U.S. Treasury about implementing the Tax Act and the potential for additional guidance from the SEC or the FASB, the amount recorded by the Company in the fourth quarter of 2017 was provisional and will continue to be adjusted during 2018. The impact of the Tax Act is expected to be finalized no later than the fourth quarter of 2018. The aforementioned guidance and additional information regarding the Tax Act may also impact the Company's 2018 effective income tax rate, exclusive of any adjustment to the provisional charge. Any material revisions in our computations could adversely affect our cash flows and results of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6" w:name="page37"/>
    <w:bookmarkEnd w:id="36"/>
    <w:p>
      <w:pPr>
        <w:ind w:right="480" w:firstLine="486"/>
        <w:spacing w:after="0" w:line="277" w:lineRule="auto"/>
        <w:rPr>
          <w:sz w:val="20"/>
          <w:szCs w:val="20"/>
          <w:color w:val="auto"/>
        </w:rPr>
      </w:pPr>
      <w:r>
        <w:rPr>
          <w:rFonts w:ascii="Arial" w:cs="Arial" w:eastAsia="Arial" w:hAnsi="Arial"/>
          <w:sz w:val="18"/>
          <w:szCs w:val="18"/>
          <w:color w:val="auto"/>
        </w:rPr>
        <w:t>During the six months ended June 30, 2018, we recorded an additional charge of $0.6 million to adjust an accrual related to withholding taxes on planned repatriations.</w:t>
      </w:r>
    </w:p>
    <w:p>
      <w:pPr>
        <w:spacing w:after="0" w:line="112" w:lineRule="exact"/>
        <w:rPr>
          <w:sz w:val="20"/>
          <w:szCs w:val="20"/>
          <w:color w:val="auto"/>
        </w:rPr>
      </w:pPr>
    </w:p>
    <w:p>
      <w:pPr>
        <w:jc w:val="center"/>
        <w:ind w:right="8920"/>
        <w:spacing w:after="0"/>
        <w:rPr>
          <w:sz w:val="20"/>
          <w:szCs w:val="20"/>
          <w:color w:val="auto"/>
        </w:rPr>
      </w:pPr>
      <w:r>
        <w:rPr>
          <w:rFonts w:ascii="Arial" w:cs="Arial" w:eastAsia="Arial" w:hAnsi="Arial"/>
          <w:sz w:val="16"/>
          <w:szCs w:val="16"/>
          <w:b w:val="1"/>
          <w:bCs w:val="1"/>
          <w:color w:val="auto"/>
        </w:rPr>
        <w:t>Liquidity and Capital Resources</w:t>
      </w:r>
    </w:p>
    <w:p>
      <w:pPr>
        <w:spacing w:after="0" w:line="198" w:lineRule="exact"/>
        <w:rPr>
          <w:sz w:val="20"/>
          <w:szCs w:val="20"/>
          <w:color w:val="auto"/>
        </w:rPr>
      </w:pPr>
    </w:p>
    <w:p>
      <w:pPr>
        <w:jc w:val="center"/>
        <w:ind w:right="89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We had cash and cash equivalents of $322.4 million at June 30, 2018 compared to $368.0 million at December 31, 2017, of which $246.7 million of the balance at June 30, 2018 was held outside the United States. Cash balances held in foreign jurisdictions are, in most circumstances, available to be repatriated to the United States.</w:t>
      </w:r>
    </w:p>
    <w:p>
      <w:pPr>
        <w:spacing w:after="0" w:line="12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Company regularly repatriates, in the form of dividends from its non-U.S. subsidiaries, a portion of its current year earnings to fund financial obligations in the U.S.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cash provided by operating activities in the first six months of 2018 was $55.2 million compared to net cash provided by operating activities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$57.9 million in the first six months of 2017. The decrease in cash from operating activities for the first six months of 2018 compared to 2017 was principally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driven by fees incurred in connection with the bridge loan commitment, higher working capital related to inventories and costs associated with an FDA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mandated product recall, partially offset by the litigation settlement and pension contribution in 2017.</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Working capital (current assets less current liabilities) totaled $1,327.2 million at June 30, 2018, compared to $1,127.8 million at December 31, 2017.</w:t>
      </w:r>
    </w:p>
    <w:p>
      <w:pPr>
        <w:spacing w:after="0" w:line="19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Company sold certain accounts receivable on a non-recourse basis to unrelated financial institutions under “factoring” agreements that are sponsored, solely and individually, by certain customers. We believe that participating in the factoring programs strengthens our relationships with these customers and provides operational efficiencies. The beneficial impact on cash provided by operations from participating in these programs decreased approximately $25.5 million for the six months ended June 30, 2018 compared to a decrease of approximately $4.7 million for the six months ended June 30, 2017. The cost of participating in these programs was immaterial to our results in all periods.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Net investing activities during the first six months of 2018 used $69.5 million compared to $232.0 million in the prior year period. The decrease in cash used in investing activities principally reflected the acquisition of Fragrance Resources and PowderPure in 2017 for approximately $137.5 million (net of cash acquired) and $54.2 million (net of cash acquired), respectively. Additions to property, plant and equipment were $67.4 million during the first six months of 2018 compared to $46.2 million in the first six months of 2017. In light of our requirement to begin relocating our Fragrance facility in China and the ongoing construction of a new facility in India, we expect that capital spending in 2018 will be about 4.5-5% of sales (net of potential grants and other reimbursements from government authorities).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(Used In) Provided By Financing Activities</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Cash used in financing activities in the first six months of 2018 decreased to $24.5 million compared to cash provided by financing activities of $343.6 million in the first six months of 2017, principally driven by $498.3 million of 2017 Senior Notes issued in the second quarter of 2017, partially offset by an increase utilization of our revolving credit facility during the second quarter of 2018 and a decrease in the repurchase of treasury stock following the suspension of our repurchase program on May 7, 2018.</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June 30, 2018, we had $1.7 billion of debt outstanding compared to $1.6 billion outstanding at December 31, 2017.</w:t>
      </w:r>
    </w:p>
    <w:p>
      <w:pPr>
        <w:spacing w:after="0" w:line="17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paid dividends totaling $108.8 million in the 2018 period. We declared a cash dividend per share of $0.69 in the second quarter of 2018 that was paid on July 6, 2018 to all shareholders of record as of June 25, 2018.</w:t>
      </w:r>
    </w:p>
    <w:p>
      <w:pPr>
        <w:spacing w:after="0" w:line="3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In December 2012, the Board of Directors authorized a $250.0 million share repurchase program, which commenced in the first quarter of 2013. In August 2015, the Board of Directors approved an additional $250 million share repurchase authorization and extension through December 31, 2017. Based on the total remaining amount of $56.1 million available under the amended repurchase program as of October 31, 2017, the Board of Directors re-approved on January 1, 2018 a $250.0 million share repurchase authorization and extension for a total value of $300.0 million available under the program. Based on the total remaining amount of $279.7 million available under the amended repurchase program, approximately 2.3 million shares, or 2.9% of shares outstanding (based on the market price and shares outstanding as of June 30, 2018) were remaining for repurchase under the program as of June 30, 2018. The purchases are authorized to be made from time to time on the open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7" w:name="page38"/>
    <w:bookmarkEnd w:id="37"/>
    <w:p>
      <w:pPr>
        <w:ind w:right="320"/>
        <w:spacing w:after="0" w:line="342" w:lineRule="auto"/>
        <w:rPr>
          <w:sz w:val="20"/>
          <w:szCs w:val="20"/>
          <w:color w:val="auto"/>
        </w:rPr>
      </w:pPr>
      <w:r>
        <w:rPr>
          <w:rFonts w:ascii="Arial" w:cs="Arial" w:eastAsia="Arial" w:hAnsi="Arial"/>
          <w:sz w:val="16"/>
          <w:szCs w:val="16"/>
          <w:color w:val="auto"/>
        </w:rPr>
        <w:t>market or through private transactions as market and business conditions warrant, with the repurchased shares to be placed into treasury stock. On May 7, 2018, we announced plans to suspend share repurchases until our deleveraging target is met following our pending acquisition of Frutarom.</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Operating cash flow provides the primary source of funds for capital investment needs, dividends paid to shareholders and debt repayments. With the exception of the funding requirements for the Frutarom acquisition,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119"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As discussed above and in Note 3 to the Consolidated Financial Statements, in connection with our pending acquisition of Frutarom, we intend to finance the cash portion of the transaction consideration through a combination of existing cash on hand, significant new debt and equity, which we expect to issue in the third quarter of 2018. We have secured a bridge facility and term loan facility commitment letters to finance the cash portion of the merger consideration in the event we have not completed our anticipated financing transactions prior to the consummation of the acquisition.</w:t>
      </w:r>
    </w:p>
    <w:p>
      <w:pPr>
        <w:spacing w:after="0" w:line="117"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We supplement short-term liquidity with access to capital markets, mainly through bank credit facilities and issuance of commercial paper. Commercial paper issued by the Company generally has terms of 90 days or less. As of June 30, 2018 and December 31, 2017, there was no commercial paper outstanding. The revolving credit facility is used as a backstop for the Company's commercial paper program. The maximum amount of commercial paper outstanding for the six months ended June 30, 2018 and 2017 was $85 million and $50 million, respectively.</w:t>
      </w:r>
    </w:p>
    <w:p>
      <w:pPr>
        <w:spacing w:after="0" w:line="117" w:lineRule="exact"/>
        <w:rPr>
          <w:sz w:val="20"/>
          <w:szCs w:val="20"/>
          <w:color w:val="auto"/>
        </w:rPr>
      </w:pPr>
    </w:p>
    <w:p>
      <w:pPr>
        <w:jc w:val="both"/>
        <w:ind w:right="140" w:firstLine="405"/>
        <w:spacing w:after="0" w:line="276" w:lineRule="auto"/>
        <w:rPr>
          <w:sz w:val="20"/>
          <w:szCs w:val="20"/>
          <w:color w:val="auto"/>
        </w:rPr>
      </w:pPr>
      <w:r>
        <w:rPr>
          <w:rFonts w:ascii="Arial" w:cs="Arial" w:eastAsia="Arial" w:hAnsi="Arial"/>
          <w:sz w:val="17"/>
          <w:szCs w:val="17"/>
          <w:color w:val="auto"/>
        </w:rPr>
        <w:t>We expect to contribute a total of approximately $4.1 million to its U.S. pension plans and a total of $17.1 million to our Non-U.S. Plans during 2018. During the six months ended June 30, 2018, no contributions were made to the qualified U.S. pension plans, $7.8 million of contributions were made to the non-U.S. pension plans, and $2.2 million of benefit payments were made with respect to the Company's non-qualified U.S. pension plan. We also expect to contribute approximately $5.0 million to our postretirement benefits other than pension plans during 2018. During the six months ended June 30, 2018, $2.4 million of contributions were made to postretirement benefits other than pension plans.</w:t>
      </w:r>
    </w:p>
    <w:p>
      <w:pPr>
        <w:spacing w:after="0" w:line="119"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As of June 30, 2018, we had $104.0 million outstanding under our revolving credit facility. The amount which we are able to draw down on under the facility is limited by financial covenants as described in more detail below. Our draw down capacity on the facility was $1.0 billion at June 30, 2018.</w:t>
      </w:r>
    </w:p>
    <w:p>
      <w:pPr>
        <w:spacing w:after="0" w:line="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Under our revolving credit facility, we are required to maintain, at the end of each fiscal quarter, a ratio of net debt for borrowed money to adjusted EBITDA in respect of the previous 12-month period of not more than 3.5 to 1. Based on this ratio, at June 30, 2018 our covenant compliance provided overall borrowing capacity of $1,647 million.</w:t>
      </w:r>
    </w:p>
    <w:p>
      <w:pPr>
        <w:spacing w:after="0" w:line="12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6"/>
          <w:szCs w:val="16"/>
          <w:color w:val="auto"/>
        </w:rPr>
        <w:t xml:space="preserve">At June 30, 2018, we were in compliance with all financial and other covenants, including the net debt to adjusted EBITDA ratio. At June 30, 2018, our Net Debt/adjusted EBITDA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ratio, as defined by the debt agreements, was 1.61 to 1, well below the financial covenants of existing outstanding debt. Failure to comply with the financial and other covenants under our debt agreements would constitute default and would allow the lenders to accelerate the maturity of all indebtedness under the related agreement. If such acceleration were to occur, we would not have sufficient liquidity available to repay the indebtedness.</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would likely have to seek amendments under the agreements for relief from the financial covenants or repay the debt with proceeds from the issuance of new debt or equity, and/or asset sales, if necessary. We may be unable to amend the agreements or raise sufficient capital to repay such obligations in the event the maturities are accelerated.</w:t>
      </w:r>
    </w:p>
    <w:p>
      <w:pPr>
        <w:spacing w:after="0" w:line="163" w:lineRule="exact"/>
        <w:rPr>
          <w:sz w:val="20"/>
          <w:szCs w:val="20"/>
          <w:color w:val="auto"/>
        </w:rPr>
      </w:pPr>
    </w:p>
    <w:p>
      <w:pPr>
        <w:ind w:left="540" w:right="60" w:hanging="316"/>
        <w:spacing w:after="0" w:line="259" w:lineRule="auto"/>
        <w:tabs>
          <w:tab w:leader="none" w:pos="5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65" w:right="2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1"/>
        </w:trPr>
        <w:tc>
          <w:tcPr>
            <w:tcW w:w="84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2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Twelve Months Ended June 30,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Net income</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i w:val="1"/>
                <w:iCs w:val="1"/>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298.6</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i w:val="1"/>
                <w:iCs w:val="1"/>
                <w:color w:val="auto"/>
              </w:rPr>
              <w:t>Interest expense</w:t>
            </w:r>
          </w:p>
        </w:tc>
        <w:tc>
          <w:tcPr>
            <w:tcW w:w="12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i w:val="1"/>
                <w:iCs w:val="1"/>
                <w:color w:val="auto"/>
              </w:rPr>
              <w:t>104.8</w:t>
            </w: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Income taxes</w:t>
            </w:r>
          </w:p>
        </w:tc>
        <w:tc>
          <w:tcPr>
            <w:tcW w:w="1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238.7</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i w:val="1"/>
                <w:iCs w:val="1"/>
                <w:color w:val="auto"/>
              </w:rPr>
              <w:t>Depreciation and amortization</w:t>
            </w:r>
          </w:p>
        </w:tc>
        <w:tc>
          <w:tcPr>
            <w:tcW w:w="12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i w:val="1"/>
                <w:iCs w:val="1"/>
                <w:color w:val="auto"/>
              </w:rPr>
              <w:t>127.2</w:t>
            </w: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84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i w:val="1"/>
                <w:iCs w:val="1"/>
                <w:color w:val="auto"/>
              </w:rPr>
              <w:t xml:space="preserve">Specified items </w:t>
            </w:r>
            <w:r>
              <w:rPr>
                <w:rFonts w:ascii="Arial" w:cs="Arial" w:eastAsia="Arial" w:hAnsi="Arial"/>
                <w:sz w:val="25"/>
                <w:szCs w:val="25"/>
                <w:i w:val="1"/>
                <w:iCs w:val="1"/>
                <w:color w:val="auto"/>
                <w:vertAlign w:val="superscript"/>
              </w:rPr>
              <w:t>(1)</w:t>
            </w:r>
          </w:p>
        </w:tc>
        <w:tc>
          <w:tcPr>
            <w:tcW w:w="128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72.2</w:t>
            </w:r>
          </w:p>
        </w:tc>
      </w:tr>
      <w:tr>
        <w:trPr>
          <w:trHeight w:val="270"/>
        </w:trPr>
        <w:tc>
          <w:tcPr>
            <w:tcW w:w="846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i w:val="1"/>
                <w:iCs w:val="1"/>
                <w:color w:val="auto"/>
              </w:rPr>
              <w:t xml:space="preserve">Non-cash items </w:t>
            </w:r>
            <w:r>
              <w:rPr>
                <w:rFonts w:ascii="Arial" w:cs="Arial" w:eastAsia="Arial" w:hAnsi="Arial"/>
                <w:sz w:val="25"/>
                <w:szCs w:val="25"/>
                <w:i w:val="1"/>
                <w:iCs w:val="1"/>
                <w:color w:val="auto"/>
                <w:vertAlign w:val="superscript"/>
              </w:rPr>
              <w:t>(2)</w:t>
            </w:r>
          </w:p>
        </w:tc>
        <w:tc>
          <w:tcPr>
            <w:tcW w:w="1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30.0</w:t>
            </w:r>
          </w:p>
        </w:tc>
      </w:tr>
      <w:tr>
        <w:trPr>
          <w:trHeight w:val="269"/>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EBITDA</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i w:val="1"/>
                <w:iCs w:val="1"/>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871.5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160" w:hanging="332"/>
        <w:spacing w:after="0" w:line="256" w:lineRule="auto"/>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items for the 12 months ended June 30, 2018 of $72.2 million consisted of operational improvement initiatives, acquisition related costs, integration related costs, restructuring and other charges, net, FDA mandated product recall, UK pension settlement charges and Frutarom acquisition related costs.</w:t>
      </w:r>
    </w:p>
    <w:p>
      <w:pPr>
        <w:ind w:left="340" w:right="120" w:hanging="332"/>
        <w:spacing w:after="0" w:line="261" w:lineRule="auto"/>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Non-cash items represent all other adjustments to reconcile net income to net cash provided by operations as presented on the Statement of Cash Flows, including gain on disposal of assets and stock-based compensation.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540" w:type="dxa"/>
            <w:vAlign w:val="bottom"/>
          </w:tcPr>
          <w:p>
            <w:pPr>
              <w:spacing w:after="0"/>
              <w:rPr>
                <w:sz w:val="19"/>
                <w:szCs w:val="19"/>
                <w:color w:val="auto"/>
              </w:rPr>
            </w:pPr>
          </w:p>
        </w:tc>
        <w:tc>
          <w:tcPr>
            <w:tcW w:w="2420" w:type="dxa"/>
            <w:vAlign w:val="bottom"/>
          </w:tcPr>
          <w:p>
            <w:pPr>
              <w:jc w:val="right"/>
              <w:ind w:right="870"/>
              <w:spacing w:after="0"/>
              <w:rPr>
                <w:sz w:val="20"/>
                <w:szCs w:val="20"/>
                <w:color w:val="auto"/>
              </w:rPr>
            </w:pPr>
            <w:r>
              <w:rPr>
                <w:rFonts w:ascii="Arial" w:cs="Arial" w:eastAsia="Arial" w:hAnsi="Arial"/>
                <w:sz w:val="18"/>
                <w:szCs w:val="18"/>
                <w:b w:val="1"/>
                <w:bCs w:val="1"/>
                <w:color w:val="auto"/>
              </w:rPr>
              <w:t>June 30,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Total debt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i w:val="1"/>
                <w:iCs w:val="1"/>
                <w:color w:val="auto"/>
                <w:w w:val="99"/>
              </w:rPr>
              <w:t>$</w:t>
            </w:r>
          </w:p>
        </w:tc>
        <w:tc>
          <w:tcPr>
            <w:tcW w:w="2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1,723.7</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i w:val="1"/>
                <w:iCs w:val="1"/>
                <w:color w:val="auto"/>
              </w:rPr>
              <w:t>Adjustments:</w:t>
            </w:r>
          </w:p>
        </w:tc>
        <w:tc>
          <w:tcPr>
            <w:tcW w:w="54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Deferred gain on interest rate swaps</w:t>
            </w:r>
          </w:p>
        </w:tc>
        <w:tc>
          <w:tcPr>
            <w:tcW w:w="5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1.6</w:t>
            </w:r>
          </w:p>
        </w:tc>
      </w:tr>
      <w:tr>
        <w:trPr>
          <w:trHeight w:val="243"/>
        </w:trPr>
        <w:tc>
          <w:tcPr>
            <w:tcW w:w="40" w:type="dxa"/>
            <w:vAlign w:val="bottom"/>
          </w:tcPr>
          <w:p>
            <w:pPr>
              <w:spacing w:after="0"/>
              <w:rPr>
                <w:sz w:val="21"/>
                <w:szCs w:val="21"/>
                <w:color w:val="auto"/>
              </w:rPr>
            </w:pPr>
          </w:p>
        </w:tc>
        <w:tc>
          <w:tcPr>
            <w:tcW w:w="8420" w:type="dxa"/>
            <w:vAlign w:val="bottom"/>
            <w:gridSpan w:val="2"/>
          </w:tcPr>
          <w:p>
            <w:pPr>
              <w:ind w:left="340"/>
              <w:spacing w:after="0"/>
              <w:rPr>
                <w:sz w:val="20"/>
                <w:szCs w:val="20"/>
                <w:color w:val="auto"/>
              </w:rPr>
            </w:pPr>
            <w:r>
              <w:rPr>
                <w:rFonts w:ascii="Arial" w:cs="Arial" w:eastAsia="Arial" w:hAnsi="Arial"/>
                <w:sz w:val="18"/>
                <w:szCs w:val="18"/>
                <w:i w:val="1"/>
                <w:iCs w:val="1"/>
                <w:color w:val="auto"/>
              </w:rPr>
              <w:t>Cash and cash equivalents</w:t>
            </w:r>
          </w:p>
        </w:tc>
        <w:tc>
          <w:tcPr>
            <w:tcW w:w="54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Arial" w:cs="Arial" w:eastAsia="Arial" w:hAnsi="Arial"/>
                <w:sz w:val="18"/>
                <w:szCs w:val="18"/>
                <w:i w:val="1"/>
                <w:iCs w:val="1"/>
                <w:color w:val="auto"/>
              </w:rPr>
              <w:t>(322.4)</w:t>
            </w:r>
          </w:p>
        </w:tc>
      </w:tr>
      <w:tr>
        <w:trPr>
          <w:trHeight w:val="27"/>
        </w:trPr>
        <w:tc>
          <w:tcPr>
            <w:tcW w:w="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debt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i w:val="1"/>
                <w:iCs w:val="1"/>
                <w:color w:val="auto"/>
                <w:w w:val="99"/>
              </w:rPr>
              <w:t>$</w:t>
            </w:r>
          </w:p>
        </w:tc>
        <w:tc>
          <w:tcPr>
            <w:tcW w:w="2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1,402.9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0" w:firstLine="432"/>
        <w:spacing w:after="0" w:line="302" w:lineRule="auto"/>
        <w:rPr>
          <w:sz w:val="20"/>
          <w:szCs w:val="20"/>
          <w:color w:val="auto"/>
        </w:rPr>
      </w:pPr>
      <w:r>
        <w:rPr>
          <w:rFonts w:ascii="Arial" w:cs="Arial" w:eastAsia="Arial" w:hAnsi="Arial"/>
          <w:sz w:val="16"/>
          <w:szCs w:val="16"/>
          <w:color w:val="auto"/>
        </w:rPr>
        <w:t>As discussed in Note 13 to the Consolidated Financial Statements, at June 30, 2018,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these arrangements are not reasonably likely to have a material impact on our consolidated financial condition, results of operations, or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Please refer to Note 1 to the Consolidated Financial Statements for a discussion of recent 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Adoption of ASC Topic 606, Revenue from Contracts with Customers</w:t>
      </w:r>
    </w:p>
    <w:p>
      <w:pPr>
        <w:spacing w:after="0" w:line="171" w:lineRule="exact"/>
        <w:rPr>
          <w:sz w:val="20"/>
          <w:szCs w:val="20"/>
          <w:color w:val="auto"/>
        </w:rPr>
      </w:pPr>
    </w:p>
    <w:p>
      <w:pPr>
        <w:ind w:right="20" w:firstLine="392"/>
        <w:spacing w:after="0" w:line="254" w:lineRule="auto"/>
        <w:rPr>
          <w:sz w:val="20"/>
          <w:szCs w:val="20"/>
          <w:color w:val="auto"/>
        </w:rPr>
      </w:pPr>
      <w:r>
        <w:rPr>
          <w:rFonts w:ascii="Arial" w:cs="Arial" w:eastAsia="Arial" w:hAnsi="Arial"/>
          <w:sz w:val="18"/>
          <w:szCs w:val="18"/>
          <w:color w:val="auto"/>
        </w:rPr>
        <w:t>In May 2014, the FASB issued 2014-09, "Revenue from Contracts with Customers", with subsequent amendments, that provides for a comprehensive model to be used in accounting for revenue arising from contracts with customers (ASC Topic 606 Revenue from Contracts with Customers) (the “Revenue Standard”). Under the Revenue Standard, revenue is recognized to reflect the transfer of goods or services to customers in an amount that reflects the consideration to which we expect to be entitled in exchange for those goods or services. Companies have the option to apply the new guidance under a retrospective approach to each prior reporting period presented or a modified retrospective approach with the cumulative effect of initially applying the new guidance recognized at the date of initial application within the Consolidated Balance Sheet. The new Revenue Standard became effective for annual reporting periods beginning after December 15, 2017, and we have adopted the new revenue standard using the modified retrospective approach on December 30, 2017, the first day of our 2018 fiscal year.</w:t>
      </w:r>
    </w:p>
    <w:p>
      <w:pPr>
        <w:spacing w:after="0" w:line="138"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We create and manufacture flavors and fragrances. Approximately 90% of products, principally Flavors compounds and Fragrances compounds, are customized to customer specifications and have no alternative use other than the sale to the specific customer (“Compounds products”). The remaining revenue is derived largely from Fragrance Ingredients products that, generally, are commodity products with alternative uses and not customized (“Ingredients products”).</w:t>
      </w:r>
    </w:p>
    <w:p>
      <w:pPr>
        <w:spacing w:after="0" w:line="133" w:lineRule="exact"/>
        <w:rPr>
          <w:sz w:val="20"/>
          <w:szCs w:val="20"/>
          <w:color w:val="auto"/>
        </w:rPr>
      </w:pPr>
    </w:p>
    <w:p>
      <w:pPr>
        <w:ind w:right="120" w:firstLine="392"/>
        <w:spacing w:after="0" w:line="255" w:lineRule="auto"/>
        <w:rPr>
          <w:sz w:val="20"/>
          <w:szCs w:val="20"/>
          <w:color w:val="auto"/>
        </w:rPr>
      </w:pPr>
      <w:r>
        <w:rPr>
          <w:rFonts w:ascii="Arial" w:cs="Arial" w:eastAsia="Arial" w:hAnsi="Arial"/>
          <w:sz w:val="18"/>
          <w:szCs w:val="18"/>
          <w:color w:val="auto"/>
        </w:rPr>
        <w:t>With respect to the vast majority of our contracts for Compounds products, we currently recognize revenue on the transfer of control of the product at a point in time as we do not have an “enforceable right to payment for performance to date” (as set out in the Revenue Standard). With respect to a small number of contracts for the sale of Compounds, we have an “enforceable right to payment for performance to date” and as the products do not have an alternative use and, we recognize revenue for these contracts over time and record a contract asset using the output method. The output method recognizes revenue on the basis of direct measurements of the value to the customer of the goods or services transferred to date relative to the remaining goods or services promised under the contract.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2" w:right="239" w:bottom="1440" w:gutter="0" w:footer="0" w:header="0"/>
        </w:sectPr>
      </w:pPr>
    </w:p>
    <w:bookmarkStart w:id="39" w:name="page40"/>
    <w:bookmarkEnd w:id="39"/>
    <w:p>
      <w:pPr>
        <w:ind w:firstLine="392"/>
        <w:spacing w:after="0" w:line="277" w:lineRule="auto"/>
        <w:rPr>
          <w:sz w:val="20"/>
          <w:szCs w:val="20"/>
          <w:color w:val="auto"/>
        </w:rPr>
      </w:pPr>
      <w:r>
        <w:rPr>
          <w:rFonts w:ascii="Arial" w:cs="Arial" w:eastAsia="Arial" w:hAnsi="Arial"/>
          <w:sz w:val="18"/>
          <w:szCs w:val="18"/>
          <w:color w:val="auto"/>
        </w:rPr>
        <w:t>With respect to our contracts related to Ingredients products, we currently recognize revenue on the transfer of control of the product at a point in time as such products generally have alternative uses and we do not have an “enforceable right to payment for performance to date.”</w:t>
      </w:r>
    </w:p>
    <w:p>
      <w:pPr>
        <w:spacing w:after="0" w:line="116" w:lineRule="exact"/>
        <w:rPr>
          <w:sz w:val="20"/>
          <w:szCs w:val="20"/>
          <w:color w:val="auto"/>
        </w:rPr>
      </w:pPr>
    </w:p>
    <w:p>
      <w:pPr>
        <w:ind w:right="40" w:firstLine="392"/>
        <w:spacing w:after="0" w:line="312" w:lineRule="auto"/>
        <w:rPr>
          <w:sz w:val="20"/>
          <w:szCs w:val="20"/>
          <w:color w:val="auto"/>
        </w:rPr>
      </w:pPr>
      <w:r>
        <w:rPr>
          <w:rFonts w:ascii="Arial" w:cs="Arial" w:eastAsia="Arial" w:hAnsi="Arial"/>
          <w:sz w:val="16"/>
          <w:szCs w:val="16"/>
          <w:color w:val="auto"/>
        </w:rPr>
        <w:t>As we adopted the Revenue Standard using the modified retrospective method effective the first day of our 2018 fiscal year, results for reporting periods beginning after December 31, 2017 are presented under the Revenue Standard while prior period amounts are not adjusted and continue to be reported in accordance with our historic accounting under ASC Topic 605, which required that revenue was accounted for when the earnings process was complete.</w:t>
      </w:r>
    </w:p>
    <w:p>
      <w:pPr>
        <w:spacing w:after="0" w:line="93"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We recorded a net increase to retained earnings of $2.1 million as of the first day of its 2018 fiscal year due to the cumulative impact of adopting the Revenue Standard. In connection with the adjustment to retained earnings, we also recorded an increase of $4.4 million in contract assets (which are included in Prepaid expenses and other assets), a decrease of $1.7 million in inventory, and an increase in taxes payable of $0.6 million.</w:t>
      </w:r>
    </w:p>
    <w:p>
      <w:pPr>
        <w:spacing w:after="0" w:line="11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impact to revenues, gross profit and net income for three months ended June 30, 2018 were reductions of $1.9 million, $1.2 million and $0.9 million, respectively, and for the six months ended June 30, 2018 were $2.5 million, $1.6 million and $1.2 million respectively, as a result of applying the Revenue Standard as compared to the amounts that would have been recognized under ASC Topic 605.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94"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Company uses non-GAAP financial operating measures in this Form 10-Q, including: (i) currency neutral sales (which eliminates the effects that result from translating its international sales to U.S. dollars), (ii) adjusted gross margin (which excludes operational improvement initiatives, acquisition related costs, integration related costs) and FDA mandated product recall, (iii) adjusted operating profit and adjusted operating margin (which excludes operational improvement initiatives, acquisition related costs, integration related costs, legal charges/credits, net, tax assessment, restructuring and other charges, net, losses (gains) on sale of assets, FDA mandated product recall) and Frutarom acquisition related costs, (iv) adjusted selling and administrative expenses (which excludes acquisition related costs, integration related costs, legal charges/credits, net, tax assessment and Frutarom acquisition related costs) and (v) adjusted effective tax rate (which excludes operational improvement initiatives, acquisition related costs, integration related costs, legal charges/credits, net, tax assessment, restructuring and other charges, net, losses (gains) on sale of assets, CTA realization, FDA mandated product recall, U.S. tax reform and Frutarom acquisition related costs).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on the extent to which the Company is in compliance with debt covenants contained in its debt agreements.</w:t>
      </w:r>
    </w:p>
    <w:p>
      <w:pPr>
        <w:spacing w:after="0" w:line="126"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provide these metrics because they are used by management as one means by which we assess our financial and operational performance and are also frequently used by analysts, investors and other interested parties in providing period to period comparisons of our operational performance. In addition, we believe that these measures, when used as supplements to GAAP measures of performance, are helpful to management and investors in evaluating the effectiveness of our business strategies and to compare our performance relative to our peers. Such information is supplemental to information presented in accordance with GAAP and is not intended to represent a presentation in accordance with GAAP. Currency neutral sales, adjusted gross margin, adjusted operating profit, adjusted operating margin, adjusted selling and administrative expenses and adjusted effective tax rate should not be considered in isolation or as substitutes for analysis of our results under GAAP and may not be comparable to other companies’ calculation of such metrics.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Reconciliation of Non-GAAP Metrics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40" w:type="dxa"/>
            <w:vAlign w:val="bottom"/>
            <w:gridSpan w:val="4"/>
          </w:tcPr>
          <w:p>
            <w:pPr>
              <w:jc w:val="right"/>
              <w:ind w:right="119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57"/>
        </w:trPr>
        <w:tc>
          <w:tcPr>
            <w:tcW w:w="42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20" w:type="dxa"/>
            <w:vAlign w:val="bottom"/>
          </w:tcPr>
          <w:p>
            <w:pPr>
              <w:jc w:val="right"/>
              <w:ind w:right="9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Reported (GAAP)</w:t>
            </w:r>
          </w:p>
        </w:tc>
        <w:tc>
          <w:tcPr>
            <w:tcW w:w="282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398,717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372,984</w:t>
            </w:r>
          </w:p>
        </w:tc>
        <w:tc>
          <w:tcPr>
            <w:tcW w:w="0" w:type="dxa"/>
            <w:vAlign w:val="bottom"/>
          </w:tcPr>
          <w:p>
            <w:pPr>
              <w:spacing w:after="0"/>
              <w:rPr>
                <w:sz w:val="1"/>
                <w:szCs w:val="1"/>
                <w:color w:val="auto"/>
              </w:rPr>
            </w:pPr>
          </w:p>
        </w:tc>
      </w:tr>
      <w:tr>
        <w:trPr>
          <w:trHeight w:val="243"/>
        </w:trPr>
        <w:tc>
          <w:tcPr>
            <w:tcW w:w="4260" w:type="dxa"/>
            <w:vAlign w:val="bottom"/>
            <w:gridSpan w:val="3"/>
          </w:tcPr>
          <w:p>
            <w:pPr>
              <w:ind w:left="40"/>
              <w:spacing w:after="0"/>
              <w:rPr>
                <w:sz w:val="20"/>
                <w:szCs w:val="20"/>
                <w:color w:val="auto"/>
              </w:rPr>
            </w:pPr>
            <w:r>
              <w:rPr>
                <w:rFonts w:ascii="Arial" w:cs="Arial" w:eastAsia="Arial" w:hAnsi="Arial"/>
                <w:sz w:val="18"/>
                <w:szCs w:val="18"/>
                <w:color w:val="auto"/>
              </w:rPr>
              <w:t>Operational Improvement Initiatives (a)</w:t>
            </w:r>
          </w:p>
        </w:tc>
        <w:tc>
          <w:tcPr>
            <w:tcW w:w="2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 Related Costs (b)</w:t>
            </w:r>
          </w:p>
        </w:tc>
        <w:tc>
          <w:tcPr>
            <w:tcW w:w="2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243"/>
        </w:trPr>
        <w:tc>
          <w:tcPr>
            <w:tcW w:w="4260" w:type="dxa"/>
            <w:vAlign w:val="bottom"/>
            <w:gridSpan w:val="3"/>
          </w:tcPr>
          <w:p>
            <w:pPr>
              <w:ind w:left="40"/>
              <w:spacing w:after="0"/>
              <w:rPr>
                <w:sz w:val="20"/>
                <w:szCs w:val="20"/>
                <w:color w:val="auto"/>
              </w:rPr>
            </w:pPr>
            <w:r>
              <w:rPr>
                <w:rFonts w:ascii="Arial" w:cs="Arial" w:eastAsia="Arial" w:hAnsi="Arial"/>
                <w:sz w:val="18"/>
                <w:szCs w:val="18"/>
                <w:color w:val="auto"/>
              </w:rPr>
              <w:t>Integration Related Costs (c)</w:t>
            </w:r>
          </w:p>
        </w:tc>
        <w:tc>
          <w:tcPr>
            <w:tcW w:w="2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FDA Mandated Product Recall (g)</w:t>
            </w:r>
          </w:p>
        </w:tc>
        <w:tc>
          <w:tcPr>
            <w:tcW w:w="2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57"/>
        </w:trPr>
        <w:tc>
          <w:tcPr>
            <w:tcW w:w="4260" w:type="dxa"/>
            <w:vAlign w:val="bottom"/>
            <w:gridSpan w:val="3"/>
          </w:tcPr>
          <w:p>
            <w:pPr>
              <w:ind w:left="40"/>
              <w:spacing w:after="0"/>
              <w:rPr>
                <w:sz w:val="20"/>
                <w:szCs w:val="20"/>
                <w:color w:val="auto"/>
              </w:rPr>
            </w:pPr>
            <w:r>
              <w:rPr>
                <w:rFonts w:ascii="Arial" w:cs="Arial" w:eastAsia="Arial" w:hAnsi="Arial"/>
                <w:sz w:val="18"/>
                <w:szCs w:val="18"/>
                <w:color w:val="auto"/>
              </w:rPr>
              <w:t>Adjusted (Non-GAAP)</w:t>
            </w:r>
          </w:p>
        </w:tc>
        <w:tc>
          <w:tcPr>
            <w:tcW w:w="226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399,120</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382,633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60" w:type="dxa"/>
            <w:vAlign w:val="bottom"/>
            <w:vMerge w:val="restart"/>
          </w:tcPr>
          <w:p>
            <w:pPr>
              <w:jc w:val="right"/>
              <w:ind w:right="630"/>
              <w:spacing w:after="0"/>
              <w:rPr>
                <w:sz w:val="20"/>
                <w:szCs w:val="20"/>
                <w:color w:val="auto"/>
              </w:rPr>
            </w:pPr>
            <w:r>
              <w:rPr>
                <w:rFonts w:ascii="Arial" w:cs="Arial" w:eastAsia="Arial" w:hAnsi="Arial"/>
                <w:sz w:val="18"/>
                <w:szCs w:val="18"/>
                <w:color w:val="auto"/>
              </w:rPr>
              <w:t>39</w:t>
            </w: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Reconciliation of Selling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40" w:type="dxa"/>
            <w:vAlign w:val="bottom"/>
            <w:gridSpan w:val="4"/>
          </w:tcPr>
          <w:p>
            <w:pPr>
              <w:jc w:val="right"/>
              <w:ind w:right="1190"/>
              <w:spacing w:after="0"/>
              <w:rPr>
                <w:sz w:val="20"/>
                <w:szCs w:val="20"/>
                <w:color w:val="auto"/>
              </w:rPr>
            </w:pPr>
            <w:r>
              <w:rPr>
                <w:rFonts w:ascii="Arial" w:cs="Arial" w:eastAsia="Arial" w:hAnsi="Arial"/>
                <w:sz w:val="18"/>
                <w:szCs w:val="18"/>
                <w:b w:val="1"/>
                <w:bCs w:val="1"/>
                <w:color w:val="auto"/>
              </w:rPr>
              <w:t>Three Months Ended June 30,</w:t>
            </w:r>
          </w:p>
        </w:tc>
      </w:tr>
      <w:tr>
        <w:trPr>
          <w:trHeight w:val="257"/>
        </w:trPr>
        <w:tc>
          <w:tcPr>
            <w:tcW w:w="65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560" w:type="dxa"/>
            <w:vAlign w:val="bottom"/>
          </w:tcPr>
          <w:p>
            <w:pPr>
              <w:spacing w:after="0"/>
              <w:rPr>
                <w:sz w:val="22"/>
                <w:szCs w:val="22"/>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20" w:type="dxa"/>
            <w:vAlign w:val="bottom"/>
          </w:tcPr>
          <w:p>
            <w:pPr>
              <w:jc w:val="right"/>
              <w:ind w:right="93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Reported (GAAP)</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139,319</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Acquisition Related Costs (b)</w:t>
            </w: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Integration Related Costs (c)</w:t>
            </w: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Legal Charges/Credits, net (d)</w:t>
            </w:r>
          </w:p>
        </w:tc>
        <w:tc>
          <w:tcPr>
            <w:tcW w:w="56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Assessment (e)</w:t>
            </w: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Frutarom Acquisition Related Costs (h)</w:t>
            </w:r>
          </w:p>
        </w:tc>
        <w:tc>
          <w:tcPr>
            <w:tcW w:w="5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(12,455)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Adjusted (Non-GAAP)</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144,956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137,124</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20" w:type="dxa"/>
            <w:vAlign w:val="bottom"/>
            <w:gridSpan w:val="4"/>
          </w:tcPr>
          <w:p>
            <w:pPr>
              <w:jc w:val="right"/>
              <w:ind w:right="1190"/>
              <w:spacing w:after="0"/>
              <w:rPr>
                <w:sz w:val="20"/>
                <w:szCs w:val="20"/>
                <w:color w:val="auto"/>
              </w:rPr>
            </w:pPr>
            <w:r>
              <w:rPr>
                <w:rFonts w:ascii="Arial" w:cs="Arial" w:eastAsia="Arial" w:hAnsi="Arial"/>
                <w:sz w:val="18"/>
                <w:szCs w:val="18"/>
                <w:b w:val="1"/>
                <w:bCs w:val="1"/>
                <w:color w:val="auto"/>
              </w:rPr>
              <w:t>Three Months Ended June 30,</w:t>
            </w:r>
          </w:p>
        </w:tc>
      </w:tr>
      <w:tr>
        <w:trPr>
          <w:trHeight w:val="257"/>
        </w:trPr>
        <w:tc>
          <w:tcPr>
            <w:tcW w:w="648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560" w:type="dxa"/>
            <w:vAlign w:val="bottom"/>
          </w:tcPr>
          <w:p>
            <w:pPr>
              <w:spacing w:after="0"/>
              <w:rPr>
                <w:sz w:val="22"/>
                <w:szCs w:val="22"/>
                <w:color w:val="auto"/>
              </w:rPr>
            </w:pPr>
          </w:p>
        </w:tc>
        <w:tc>
          <w:tcPr>
            <w:tcW w:w="1820" w:type="dxa"/>
            <w:vAlign w:val="bottom"/>
          </w:tcPr>
          <w:p>
            <w:pPr>
              <w:jc w:val="right"/>
              <w:ind w:right="9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20" w:type="dxa"/>
            <w:vAlign w:val="bottom"/>
          </w:tcPr>
          <w:p>
            <w:pPr>
              <w:jc w:val="right"/>
              <w:ind w:right="930"/>
              <w:spacing w:after="0"/>
              <w:rPr>
                <w:sz w:val="20"/>
                <w:szCs w:val="20"/>
                <w:color w:val="auto"/>
              </w:rPr>
            </w:pPr>
            <w:r>
              <w:rPr>
                <w:rFonts w:ascii="Arial" w:cs="Arial" w:eastAsia="Arial" w:hAnsi="Arial"/>
                <w:sz w:val="18"/>
                <w:szCs w:val="18"/>
                <w:b w:val="1"/>
                <w:bCs w:val="1"/>
                <w:color w:val="auto"/>
              </w:rPr>
              <w:t>2017</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44"/>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Reported (GAAP)</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154,509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151,687</w:t>
            </w:r>
          </w:p>
        </w:tc>
      </w:tr>
      <w:tr>
        <w:trPr>
          <w:trHeight w:val="243"/>
        </w:trPr>
        <w:tc>
          <w:tcPr>
            <w:tcW w:w="6480" w:type="dxa"/>
            <w:vAlign w:val="bottom"/>
            <w:gridSpan w:val="3"/>
          </w:tcPr>
          <w:p>
            <w:pPr>
              <w:ind w:left="20"/>
              <w:spacing w:after="0"/>
              <w:rPr>
                <w:sz w:val="20"/>
                <w:szCs w:val="20"/>
                <w:color w:val="auto"/>
              </w:rPr>
            </w:pPr>
            <w:r>
              <w:rPr>
                <w:rFonts w:ascii="Arial" w:cs="Arial" w:eastAsia="Arial" w:hAnsi="Arial"/>
                <w:sz w:val="18"/>
                <w:szCs w:val="18"/>
                <w:color w:val="auto"/>
              </w:rPr>
              <w:t>Operational Improvement Initiatives (a)</w:t>
            </w: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445</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Acquisition Related Costs (b)</w:t>
            </w: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6,278</w:t>
            </w:r>
          </w:p>
        </w:tc>
      </w:tr>
      <w:tr>
        <w:trPr>
          <w:trHeight w:val="243"/>
        </w:trPr>
        <w:tc>
          <w:tcPr>
            <w:tcW w:w="6480" w:type="dxa"/>
            <w:vAlign w:val="bottom"/>
            <w:gridSpan w:val="3"/>
          </w:tcPr>
          <w:p>
            <w:pPr>
              <w:ind w:left="20"/>
              <w:spacing w:after="0"/>
              <w:rPr>
                <w:sz w:val="20"/>
                <w:szCs w:val="20"/>
                <w:color w:val="auto"/>
              </w:rPr>
            </w:pPr>
            <w:r>
              <w:rPr>
                <w:rFonts w:ascii="Arial" w:cs="Arial" w:eastAsia="Arial" w:hAnsi="Arial"/>
                <w:sz w:val="18"/>
                <w:szCs w:val="18"/>
                <w:color w:val="auto"/>
              </w:rPr>
              <w:t>Integration Related Costs (c)</w:t>
            </w: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731</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Legal Charges/Credits, net (d)</w:t>
            </w: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r>
      <w:tr>
        <w:trPr>
          <w:trHeight w:val="243"/>
        </w:trPr>
        <w:tc>
          <w:tcPr>
            <w:tcW w:w="6480" w:type="dxa"/>
            <w:vAlign w:val="bottom"/>
            <w:gridSpan w:val="3"/>
          </w:tcPr>
          <w:p>
            <w:pPr>
              <w:ind w:left="20"/>
              <w:spacing w:after="0"/>
              <w:rPr>
                <w:sz w:val="20"/>
                <w:szCs w:val="20"/>
                <w:color w:val="auto"/>
              </w:rPr>
            </w:pPr>
            <w:r>
              <w:rPr>
                <w:rFonts w:ascii="Arial" w:cs="Arial" w:eastAsia="Arial" w:hAnsi="Arial"/>
                <w:sz w:val="18"/>
                <w:szCs w:val="18"/>
                <w:color w:val="auto"/>
              </w:rPr>
              <w:t>Tax Assessment (e)</w:t>
            </w:r>
          </w:p>
        </w:tc>
        <w:tc>
          <w:tcPr>
            <w:tcW w:w="56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 net (f)</w:t>
            </w: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w:t>
            </w:r>
          </w:p>
        </w:tc>
      </w:tr>
      <w:tr>
        <w:trPr>
          <w:trHeight w:val="243"/>
        </w:trPr>
        <w:tc>
          <w:tcPr>
            <w:tcW w:w="6480" w:type="dxa"/>
            <w:vAlign w:val="bottom"/>
            <w:gridSpan w:val="3"/>
          </w:tcPr>
          <w:p>
            <w:pPr>
              <w:ind w:left="20"/>
              <w:spacing w:after="0"/>
              <w:rPr>
                <w:sz w:val="20"/>
                <w:szCs w:val="20"/>
                <w:color w:val="auto"/>
              </w:rPr>
            </w:pPr>
            <w:r>
              <w:rPr>
                <w:rFonts w:ascii="Arial" w:cs="Arial" w:eastAsia="Arial" w:hAnsi="Arial"/>
                <w:sz w:val="18"/>
                <w:szCs w:val="18"/>
                <w:color w:val="auto"/>
              </w:rPr>
              <w:t>Losses (Gains) on Sale of Assets</w:t>
            </w: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FDA Mandated Product Recall (g)</w:t>
            </w: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w:t>
            </w:r>
          </w:p>
        </w:tc>
      </w:tr>
      <w:tr>
        <w:trPr>
          <w:trHeight w:val="243"/>
        </w:trPr>
        <w:tc>
          <w:tcPr>
            <w:tcW w:w="6480" w:type="dxa"/>
            <w:vAlign w:val="bottom"/>
            <w:gridSpan w:val="3"/>
          </w:tcPr>
          <w:p>
            <w:pPr>
              <w:ind w:left="20"/>
              <w:spacing w:after="0"/>
              <w:rPr>
                <w:sz w:val="20"/>
                <w:szCs w:val="20"/>
                <w:color w:val="auto"/>
              </w:rPr>
            </w:pPr>
            <w:r>
              <w:rPr>
                <w:rFonts w:ascii="Arial" w:cs="Arial" w:eastAsia="Arial" w:hAnsi="Arial"/>
                <w:sz w:val="18"/>
                <w:szCs w:val="18"/>
                <w:color w:val="auto"/>
              </w:rPr>
              <w:t>Frutarom Acquisition Related Costs (h)</w:t>
            </w: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12,455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Adjusted (Non-GAAP)</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169,813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164,345</w:t>
            </w: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8"/>
          </w:tcPr>
          <w:p>
            <w:pPr>
              <w:ind w:left="400"/>
              <w:spacing w:after="0"/>
              <w:rPr>
                <w:sz w:val="20"/>
                <w:szCs w:val="20"/>
                <w:color w:val="auto"/>
              </w:rPr>
            </w:pPr>
            <w:r>
              <w:rPr>
                <w:rFonts w:ascii="Arial" w:cs="Arial" w:eastAsia="Arial" w:hAnsi="Arial"/>
                <w:sz w:val="18"/>
                <w:szCs w:val="18"/>
                <w:b w:val="1"/>
                <w:bCs w:val="1"/>
                <w:color w:val="auto"/>
                <w:w w:val="91"/>
              </w:rPr>
              <w:t>Three Months Ended June 30,</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0"/>
        </w:trPr>
        <w:tc>
          <w:tcPr>
            <w:tcW w:w="3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
        </w:trPr>
        <w:tc>
          <w:tcPr>
            <w:tcW w:w="3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Taxes on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before</w:t>
            </w:r>
          </w:p>
        </w:tc>
        <w:tc>
          <w:tcPr>
            <w:tcW w:w="12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Taxes on</w:t>
            </w: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before taxes</w:t>
            </w:r>
          </w:p>
        </w:tc>
        <w:tc>
          <w:tcPr>
            <w:tcW w:w="12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income (i)</w:t>
            </w:r>
          </w:p>
        </w:tc>
        <w:tc>
          <w:tcPr>
            <w:tcW w:w="106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EPS (j)</w:t>
            </w:r>
          </w:p>
        </w:tc>
        <w:tc>
          <w:tcPr>
            <w:tcW w:w="14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taxes</w:t>
            </w:r>
          </w:p>
        </w:tc>
        <w:tc>
          <w:tcPr>
            <w:tcW w:w="120" w:type="dxa"/>
            <w:vAlign w:val="bottom"/>
          </w:tcPr>
          <w:p>
            <w:pPr>
              <w:spacing w:after="0"/>
              <w:rPr>
                <w:sz w:val="20"/>
                <w:szCs w:val="20"/>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income (i)</w:t>
            </w:r>
          </w:p>
        </w:tc>
        <w:tc>
          <w:tcPr>
            <w:tcW w:w="12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20"/>
                <w:szCs w:val="20"/>
                <w:color w:val="auto"/>
              </w:rPr>
            </w:pPr>
          </w:p>
        </w:tc>
        <w:tc>
          <w:tcPr>
            <w:tcW w:w="620" w:type="dxa"/>
            <w:vAlign w:val="bottom"/>
          </w:tcPr>
          <w:p>
            <w:pPr>
              <w:jc w:val="right"/>
              <w:ind w:right="138"/>
              <w:spacing w:after="0"/>
              <w:rPr>
                <w:sz w:val="20"/>
                <w:szCs w:val="20"/>
                <w:color w:val="auto"/>
              </w:rPr>
            </w:pPr>
            <w:r>
              <w:rPr>
                <w:rFonts w:ascii="Arial" w:cs="Arial" w:eastAsia="Arial" w:hAnsi="Arial"/>
                <w:sz w:val="18"/>
                <w:szCs w:val="18"/>
                <w:b w:val="1"/>
                <w:bCs w:val="1"/>
                <w:color w:val="auto"/>
              </w:rPr>
              <w:t>EPS</w:t>
            </w:r>
          </w:p>
        </w:tc>
      </w:tr>
      <w:tr>
        <w:trPr>
          <w:trHeight w:val="27"/>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121,918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22,769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99,149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142,040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32,245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109,795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1.38</w:t>
            </w: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Operational Improvement Initiatives (a)</w:t>
            </w:r>
          </w:p>
        </w:tc>
        <w:tc>
          <w:tcPr>
            <w:tcW w:w="18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7"/>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ind w:right="17"/>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Related Costs (b)</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6,278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4,806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0.06</w:t>
            </w: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Integration Related Costs (c)</w:t>
            </w:r>
          </w:p>
        </w:tc>
        <w:tc>
          <w:tcPr>
            <w:tcW w:w="18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8"/>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7"/>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8"/>
              <w:spacing w:after="0"/>
              <w:rPr>
                <w:sz w:val="20"/>
                <w:szCs w:val="20"/>
                <w:color w:val="auto"/>
              </w:rPr>
            </w:pPr>
            <w:r>
              <w:rPr>
                <w:rFonts w:ascii="Arial" w:cs="Arial" w:eastAsia="Arial" w:hAnsi="Arial"/>
                <w:sz w:val="16"/>
                <w:szCs w:val="16"/>
                <w:color w:val="auto"/>
              </w:rPr>
              <w:t>0.01</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Legal Charges/Credits, net (d)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0.01</w:t>
            </w: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Tax Assessment (e)</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and Other Charges, net (f)</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0.01</w:t>
            </w: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Losses (Gains) on Sale of Assets</w:t>
            </w:r>
          </w:p>
        </w:tc>
        <w:tc>
          <w:tcPr>
            <w:tcW w:w="18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7"/>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6"/>
                <w:szCs w:val="16"/>
                <w:color w:val="auto"/>
              </w:rPr>
              <w:t>1,001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8"/>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FDA Mandated Product Recall (g)</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2,262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0.03</w:t>
            </w: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Frutarom Acquisition Related Costs (h)</w:t>
            </w:r>
          </w:p>
        </w:tc>
        <w:tc>
          <w:tcPr>
            <w:tcW w:w="18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36,989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7"/>
              <w:spacing w:after="0"/>
              <w:rPr>
                <w:sz w:val="20"/>
                <w:szCs w:val="20"/>
                <w:color w:val="auto"/>
              </w:rPr>
            </w:pPr>
            <w:r>
              <w:rPr>
                <w:rFonts w:ascii="Arial" w:cs="Arial" w:eastAsia="Arial" w:hAnsi="Arial"/>
                <w:sz w:val="16"/>
                <w:szCs w:val="16"/>
                <w:color w:val="auto"/>
              </w:rPr>
              <w:t>6,543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6"/>
                <w:szCs w:val="16"/>
                <w:color w:val="auto"/>
              </w:rPr>
              <w:t>30,446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8"/>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161,756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6"/>
                <w:szCs w:val="16"/>
                <w:color w:val="auto"/>
              </w:rPr>
              <w:t>29,762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131,994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154,698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35,559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119,139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1.50</w:t>
            </w: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2" w:right="239" w:bottom="1440" w:gutter="0" w:footer="0" w:header="0"/>
        </w:sectPr>
      </w:pPr>
    </w:p>
    <w:bookmarkStart w:id="41" w:name="page42"/>
    <w:bookmarkEnd w:id="41"/>
    <w:p>
      <w:pPr>
        <w:ind w:left="1080" w:right="80" w:hanging="65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2018, represents accelerated depreciation related to a plant relocation in India. For 2017, represents accelerated depreciation and idle labor costs in Hangzhou, China.</w:t>
      </w:r>
    </w:p>
    <w:p>
      <w:pPr>
        <w:spacing w:after="0" w:line="8" w:lineRule="exact"/>
        <w:rPr>
          <w:rFonts w:ascii="Arial" w:cs="Arial" w:eastAsia="Arial" w:hAnsi="Arial"/>
          <w:sz w:val="18"/>
          <w:szCs w:val="18"/>
          <w:color w:val="auto"/>
        </w:rPr>
      </w:pPr>
    </w:p>
    <w:p>
      <w:pPr>
        <w:ind w:left="1080" w:right="580" w:hanging="657"/>
        <w:spacing w:after="0" w:line="264"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2017, represents the amortization of inventory "step-up" related to the acquisitions of David Michael, Fragrance Resources and PowderPure, included in cost of goods sold and transaction costs related to the acquisitions of David Michael, Fragrance Resources and PowderPure, included in Selling and administrative expenses.</w:t>
      </w:r>
    </w:p>
    <w:p>
      <w:pPr>
        <w:spacing w:after="0" w:line="19" w:lineRule="exact"/>
        <w:rPr>
          <w:rFonts w:ascii="Arial" w:cs="Arial" w:eastAsia="Arial" w:hAnsi="Arial"/>
          <w:sz w:val="18"/>
          <w:szCs w:val="18"/>
          <w:color w:val="auto"/>
        </w:rPr>
      </w:pPr>
    </w:p>
    <w:p>
      <w:pPr>
        <w:ind w:left="1080" w:right="240" w:hanging="65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2018, represents costs related to the integration of David Michael. For 2017, represents costs related to the integration of David Michael and Fragrance Resources acquisitions.</w:t>
      </w:r>
    </w:p>
    <w:p>
      <w:pPr>
        <w:spacing w:after="0" w:line="8" w:lineRule="exact"/>
        <w:rPr>
          <w:rFonts w:ascii="Arial" w:cs="Arial" w:eastAsia="Arial" w:hAnsi="Arial"/>
          <w:sz w:val="18"/>
          <w:szCs w:val="18"/>
          <w:color w:val="auto"/>
        </w:rPr>
      </w:pPr>
    </w:p>
    <w:p>
      <w:pPr>
        <w:ind w:left="1080" w:hanging="657"/>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additional charge related to litigation settlement.</w:t>
      </w:r>
    </w:p>
    <w:p>
      <w:pPr>
        <w:spacing w:after="0" w:line="63" w:lineRule="exact"/>
        <w:rPr>
          <w:rFonts w:ascii="Arial" w:cs="Arial" w:eastAsia="Arial" w:hAnsi="Arial"/>
          <w:sz w:val="18"/>
          <w:szCs w:val="18"/>
          <w:color w:val="auto"/>
        </w:rPr>
      </w:pPr>
    </w:p>
    <w:p>
      <w:pPr>
        <w:ind w:left="1080" w:hanging="65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reserve for payment of a tax assessment related to commercial rent for prior periods.</w:t>
      </w:r>
    </w:p>
    <w:p>
      <w:pPr>
        <w:spacing w:after="0" w:line="63" w:lineRule="exact"/>
        <w:rPr>
          <w:rFonts w:ascii="Arial" w:cs="Arial" w:eastAsia="Arial" w:hAnsi="Arial"/>
          <w:sz w:val="18"/>
          <w:szCs w:val="18"/>
          <w:color w:val="auto"/>
        </w:rPr>
      </w:pPr>
    </w:p>
    <w:p>
      <w:pPr>
        <w:ind w:left="1080" w:hanging="64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severance costs related to the 2017 Productivity Program.</w:t>
      </w:r>
    </w:p>
    <w:p>
      <w:pPr>
        <w:spacing w:after="0" w:line="63" w:lineRule="exact"/>
        <w:rPr>
          <w:rFonts w:ascii="Arial" w:cs="Arial" w:eastAsia="Arial" w:hAnsi="Arial"/>
          <w:sz w:val="18"/>
          <w:szCs w:val="18"/>
          <w:color w:val="auto"/>
        </w:rPr>
      </w:pPr>
    </w:p>
    <w:p>
      <w:pPr>
        <w:ind w:left="1080" w:hanging="657"/>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management's best estimate of losses related to the previously disclosed FDA mandated recall.</w:t>
      </w:r>
    </w:p>
    <w:p>
      <w:pPr>
        <w:spacing w:after="0" w:line="63" w:lineRule="exact"/>
        <w:rPr>
          <w:rFonts w:ascii="Arial" w:cs="Arial" w:eastAsia="Arial" w:hAnsi="Arial"/>
          <w:sz w:val="18"/>
          <w:szCs w:val="18"/>
          <w:color w:val="auto"/>
        </w:rPr>
      </w:pPr>
    </w:p>
    <w:p>
      <w:pPr>
        <w:ind w:left="1080" w:right="240" w:hanging="657"/>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transaction-related costs and expenses related to the pending acquisition of Frutarom. Amount includes $10.6 million of bridge loan commitment fees included in Interest expense, $25.0 million mark-to-market loss adjustment on an interest rate derivative and an $11.0 million mark-to-market gain adjustment on a foreign currency derivative, and $12.5 million of transaction costs included in administrative expenses.</w:t>
      </w:r>
    </w:p>
    <w:p>
      <w:pPr>
        <w:spacing w:after="0" w:line="25" w:lineRule="exact"/>
        <w:rPr>
          <w:sz w:val="20"/>
          <w:szCs w:val="20"/>
          <w:color w:val="auto"/>
        </w:rPr>
      </w:pPr>
    </w:p>
    <w:p>
      <w:pPr>
        <w:ind w:left="1080" w:right="280" w:hanging="637"/>
        <w:spacing w:after="0" w:line="25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except for those items which are non-taxable for which the tax expense (benefit) was calculated at 0%. For second quarter of 2018, certain non-GAAP adjustments were subject to valuation allowances and therefore was calculated at 0%.</w:t>
      </w:r>
    </w:p>
    <w:p>
      <w:pPr>
        <w:spacing w:after="0" w:line="26" w:lineRule="exact"/>
        <w:rPr>
          <w:rFonts w:ascii="Arial" w:cs="Arial" w:eastAsia="Arial" w:hAnsi="Arial"/>
          <w:sz w:val="18"/>
          <w:szCs w:val="18"/>
          <w:color w:val="auto"/>
        </w:rPr>
      </w:pPr>
    </w:p>
    <w:p>
      <w:pPr>
        <w:ind w:left="1080" w:hanging="637"/>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sum of these items does not foot due to rounding.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380" w:type="dxa"/>
            <w:vAlign w:val="bottom"/>
          </w:tcPr>
          <w:p>
            <w:pPr>
              <w:spacing w:after="0"/>
              <w:rPr>
                <w:sz w:val="20"/>
                <w:szCs w:val="20"/>
                <w:color w:val="auto"/>
              </w:rPr>
            </w:pPr>
          </w:p>
        </w:tc>
      </w:tr>
      <w:tr>
        <w:trPr>
          <w:trHeight w:val="257"/>
        </w:trPr>
        <w:tc>
          <w:tcPr>
            <w:tcW w:w="652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560" w:type="dxa"/>
            <w:vAlign w:val="bottom"/>
          </w:tcPr>
          <w:p>
            <w:pPr>
              <w:spacing w:after="0"/>
              <w:rPr>
                <w:sz w:val="22"/>
                <w:szCs w:val="22"/>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80" w:type="dxa"/>
            <w:vAlign w:val="bottom"/>
          </w:tcPr>
          <w:p>
            <w:pPr>
              <w:jc w:val="right"/>
              <w:ind w:right="930"/>
              <w:spacing w:after="0"/>
              <w:rPr>
                <w:sz w:val="20"/>
                <w:szCs w:val="20"/>
                <w:color w:val="auto"/>
              </w:rPr>
            </w:pPr>
            <w:r>
              <w:rPr>
                <w:rFonts w:ascii="Arial" w:cs="Arial" w:eastAsia="Arial" w:hAnsi="Arial"/>
                <w:sz w:val="18"/>
                <w:szCs w:val="18"/>
                <w:b w:val="1"/>
                <w:bCs w:val="1"/>
                <w:color w:val="auto"/>
                <w:w w:val="84"/>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Reported (GAAP)</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804,525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736,066</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Operational Improvement Initiatives (a)</w:t>
            </w: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1,066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 Related Costs (b)</w:t>
            </w: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10,907</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Integration Related Costs (c)</w:t>
            </w:r>
          </w:p>
        </w:tc>
        <w:tc>
          <w:tcPr>
            <w:tcW w:w="56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FDA Mandated Product Recall (h)</w:t>
            </w:r>
          </w:p>
        </w:tc>
        <w:tc>
          <w:tcPr>
            <w:tcW w:w="5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r>
      <w:tr>
        <w:trPr>
          <w:trHeight w:val="257"/>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Adjusted (Non-GAAP)</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810,381</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751,725</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Selling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4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80" w:type="dxa"/>
            <w:vAlign w:val="bottom"/>
          </w:tcPr>
          <w:p>
            <w:pPr>
              <w:jc w:val="right"/>
              <w:ind w:right="930"/>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Reported (GAAP)</w:t>
            </w:r>
          </w:p>
        </w:tc>
        <w:tc>
          <w:tcPr>
            <w:tcW w:w="28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300,051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283,023</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Acquisition Related Costs (b)</w:t>
            </w:r>
          </w:p>
        </w:tc>
        <w:tc>
          <w:tcPr>
            <w:tcW w:w="2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Integration Related Costs (c)</w:t>
            </w:r>
          </w:p>
        </w:tc>
        <w:tc>
          <w:tcPr>
            <w:tcW w:w="2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Legal Charges/Credits, net (d)</w:t>
            </w:r>
          </w:p>
        </w:tc>
        <w:tc>
          <w:tcPr>
            <w:tcW w:w="2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Assessment (e)</w:t>
            </w:r>
          </w:p>
        </w:tc>
        <w:tc>
          <w:tcPr>
            <w:tcW w:w="2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Frutarom Acquisition Related Costs (j)</w:t>
            </w:r>
          </w:p>
        </w:tc>
        <w:tc>
          <w:tcPr>
            <w:tcW w:w="2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(12,455)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Adjusted (Non-GAAP)</w:t>
            </w:r>
          </w:p>
        </w:tc>
        <w:tc>
          <w:tcPr>
            <w:tcW w:w="2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288,114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271,048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41</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auto"/>
        </w:rPr>
        <w:t>Reconciliation of 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123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4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6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20" w:type="dxa"/>
            <w:vAlign w:val="bottom"/>
          </w:tcPr>
          <w:p>
            <w:pPr>
              <w:jc w:val="right"/>
              <w:ind w:right="9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80" w:type="dxa"/>
            <w:vAlign w:val="bottom"/>
          </w:tcPr>
          <w:p>
            <w:pPr>
              <w:jc w:val="right"/>
              <w:ind w:right="930"/>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Reported (GAAP)</w:t>
            </w:r>
          </w:p>
        </w:tc>
        <w:tc>
          <w:tcPr>
            <w:tcW w:w="27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329,363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281,750</w:t>
            </w:r>
          </w:p>
        </w:tc>
        <w:tc>
          <w:tcPr>
            <w:tcW w:w="0" w:type="dxa"/>
            <w:vAlign w:val="bottom"/>
          </w:tcPr>
          <w:p>
            <w:pPr>
              <w:spacing w:after="0"/>
              <w:rPr>
                <w:sz w:val="1"/>
                <w:szCs w:val="1"/>
                <w:color w:val="auto"/>
              </w:rPr>
            </w:pPr>
          </w:p>
        </w:tc>
      </w:tr>
      <w:tr>
        <w:trPr>
          <w:trHeight w:val="243"/>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Operational Improvement Initiatives (a)</w:t>
            </w:r>
          </w:p>
        </w:tc>
        <w:tc>
          <w:tcPr>
            <w:tcW w:w="2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Acquisition Related Costs (b)</w:t>
            </w:r>
          </w:p>
        </w:tc>
        <w:tc>
          <w:tcPr>
            <w:tcW w:w="2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15,066</w:t>
            </w:r>
          </w:p>
        </w:tc>
        <w:tc>
          <w:tcPr>
            <w:tcW w:w="0" w:type="dxa"/>
            <w:vAlign w:val="bottom"/>
          </w:tcPr>
          <w:p>
            <w:pPr>
              <w:spacing w:after="0"/>
              <w:rPr>
                <w:sz w:val="1"/>
                <w:szCs w:val="1"/>
                <w:color w:val="auto"/>
              </w:rPr>
            </w:pPr>
          </w:p>
        </w:tc>
      </w:tr>
      <w:tr>
        <w:trPr>
          <w:trHeight w:val="243"/>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Integration Related Costs (c)</w:t>
            </w:r>
          </w:p>
        </w:tc>
        <w:tc>
          <w:tcPr>
            <w:tcW w:w="2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Legal Charges/Credits, net (d)</w:t>
            </w:r>
          </w:p>
        </w:tc>
        <w:tc>
          <w:tcPr>
            <w:tcW w:w="2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Tax Assessment (e)</w:t>
            </w:r>
          </w:p>
        </w:tc>
        <w:tc>
          <w:tcPr>
            <w:tcW w:w="2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 net (f)</w:t>
            </w:r>
          </w:p>
        </w:tc>
        <w:tc>
          <w:tcPr>
            <w:tcW w:w="2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10,934</w:t>
            </w:r>
          </w:p>
        </w:tc>
        <w:tc>
          <w:tcPr>
            <w:tcW w:w="0" w:type="dxa"/>
            <w:vAlign w:val="bottom"/>
          </w:tcPr>
          <w:p>
            <w:pPr>
              <w:spacing w:after="0"/>
              <w:rPr>
                <w:sz w:val="1"/>
                <w:szCs w:val="1"/>
                <w:color w:val="auto"/>
              </w:rPr>
            </w:pPr>
          </w:p>
        </w:tc>
      </w:tr>
      <w:tr>
        <w:trPr>
          <w:trHeight w:val="243"/>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Losses (Gains) on Sale of Assets</w:t>
            </w:r>
          </w:p>
        </w:tc>
        <w:tc>
          <w:tcPr>
            <w:tcW w:w="2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FDA Mandated Product Recall (h)</w:t>
            </w:r>
          </w:p>
        </w:tc>
        <w:tc>
          <w:tcPr>
            <w:tcW w:w="2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Frutarom Acquisition Related Costs (j)</w:t>
            </w:r>
          </w:p>
        </w:tc>
        <w:tc>
          <w:tcPr>
            <w:tcW w:w="2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12,455</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(Non-GAAP)</w:t>
            </w:r>
          </w:p>
        </w:tc>
        <w:tc>
          <w:tcPr>
            <w:tcW w:w="2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350,827</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320,481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42</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742" w:right="2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Reconciliation of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8"/>
          </w:tcPr>
          <w:p>
            <w:pPr>
              <w:ind w:left="520"/>
              <w:spacing w:after="0"/>
              <w:rPr>
                <w:sz w:val="20"/>
                <w:szCs w:val="20"/>
                <w:color w:val="auto"/>
              </w:rPr>
            </w:pPr>
            <w:r>
              <w:rPr>
                <w:rFonts w:ascii="Arial" w:cs="Arial" w:eastAsia="Arial" w:hAnsi="Arial"/>
                <w:sz w:val="18"/>
                <w:szCs w:val="18"/>
                <w:b w:val="1"/>
                <w:bCs w:val="1"/>
                <w:color w:val="auto"/>
                <w:w w:val="95"/>
              </w:rPr>
              <w:t>Six Months Ended June 30,</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Taxes on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before</w:t>
            </w:r>
          </w:p>
        </w:tc>
        <w:tc>
          <w:tcPr>
            <w:tcW w:w="14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Taxes on</w:t>
            </w: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1"/>
        </w:trPr>
        <w:tc>
          <w:tcPr>
            <w:tcW w:w="320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before taxes</w:t>
            </w:r>
          </w:p>
        </w:tc>
        <w:tc>
          <w:tcPr>
            <w:tcW w:w="12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income (k)</w:t>
            </w:r>
          </w:p>
        </w:tc>
        <w:tc>
          <w:tcPr>
            <w:tcW w:w="106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spacing w:after="0"/>
              <w:rPr>
                <w:sz w:val="19"/>
                <w:szCs w:val="19"/>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14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taxes</w:t>
            </w:r>
          </w:p>
        </w:tc>
        <w:tc>
          <w:tcPr>
            <w:tcW w:w="11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income (k)</w:t>
            </w:r>
          </w:p>
        </w:tc>
        <w:tc>
          <w:tcPr>
            <w:tcW w:w="12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9"/>
                <w:szCs w:val="19"/>
                <w:color w:val="auto"/>
              </w:rPr>
            </w:pPr>
          </w:p>
        </w:tc>
        <w:tc>
          <w:tcPr>
            <w:tcW w:w="660" w:type="dxa"/>
            <w:vAlign w:val="bottom"/>
          </w:tcPr>
          <w:p>
            <w:pPr>
              <w:jc w:val="right"/>
              <w:ind w:right="38"/>
              <w:spacing w:after="0"/>
              <w:rPr>
                <w:sz w:val="20"/>
                <w:szCs w:val="20"/>
                <w:color w:val="auto"/>
              </w:rPr>
            </w:pPr>
            <w:r>
              <w:rPr>
                <w:rFonts w:ascii="Arial" w:cs="Arial" w:eastAsia="Arial" w:hAnsi="Arial"/>
                <w:sz w:val="18"/>
                <w:szCs w:val="18"/>
                <w:b w:val="1"/>
                <w:bCs w:val="1"/>
                <w:color w:val="auto"/>
                <w:w w:val="89"/>
              </w:rPr>
              <w:t>EPS (l)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Reported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280,754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52,190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228,564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280,527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54,968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225,559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2.84</w:t>
            </w: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Operational Improvement Initiatives (a)</w:t>
            </w:r>
          </w:p>
        </w:tc>
        <w:tc>
          <w:tcPr>
            <w:tcW w:w="18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1,429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7"/>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8"/>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7"/>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8"/>
              <w:spacing w:after="0"/>
              <w:rPr>
                <w:sz w:val="20"/>
                <w:szCs w:val="20"/>
                <w:color w:val="auto"/>
              </w:rPr>
            </w:pPr>
            <w:r>
              <w:rPr>
                <w:rFonts w:ascii="Arial" w:cs="Arial" w:eastAsia="Arial" w:hAnsi="Arial"/>
                <w:sz w:val="16"/>
                <w:szCs w:val="16"/>
                <w:color w:val="auto"/>
              </w:rPr>
              <w:t>0.01</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Acquisition Related Costs (b)</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15,066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4,610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10,456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0.13</w:t>
            </w: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Integration Related Costs (c)</w:t>
            </w:r>
          </w:p>
        </w:tc>
        <w:tc>
          <w:tcPr>
            <w:tcW w:w="18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8"/>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7"/>
              <w:spacing w:after="0"/>
              <w:rPr>
                <w:sz w:val="20"/>
                <w:szCs w:val="20"/>
                <w:color w:val="auto"/>
              </w:rPr>
            </w:pPr>
            <w:r>
              <w:rPr>
                <w:rFonts w:ascii="Arial" w:cs="Arial" w:eastAsia="Arial" w:hAnsi="Arial"/>
                <w:sz w:val="16"/>
                <w:szCs w:val="16"/>
                <w:color w:val="auto"/>
              </w:rPr>
              <w:t>1,922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color w:val="auto"/>
              </w:rPr>
              <w:t>1,317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8"/>
              <w:spacing w:after="0"/>
              <w:rPr>
                <w:sz w:val="20"/>
                <w:szCs w:val="20"/>
                <w:color w:val="auto"/>
              </w:rPr>
            </w:pPr>
            <w:r>
              <w:rPr>
                <w:rFonts w:ascii="Arial" w:cs="Arial" w:eastAsia="Arial" w:hAnsi="Arial"/>
                <w:sz w:val="16"/>
                <w:szCs w:val="16"/>
                <w:color w:val="auto"/>
              </w:rPr>
              <w:t>0.02</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Legal Charges/Credits, net (d)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0.01</w:t>
            </w: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Tax Assessment (e)</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ind w:right="17"/>
              <w:spacing w:after="0"/>
              <w:rPr>
                <w:sz w:val="20"/>
                <w:szCs w:val="20"/>
                <w:color w:val="auto"/>
              </w:rPr>
            </w:pPr>
            <w:r>
              <w:rPr>
                <w:rFonts w:ascii="Arial" w:cs="Arial" w:eastAsia="Arial" w:hAnsi="Arial"/>
                <w:sz w:val="16"/>
                <w:szCs w:val="16"/>
                <w:color w:val="auto"/>
              </w:rPr>
              <w:t>5,331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1,885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color w:val="auto"/>
              </w:rPr>
              <w:t>3,446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8"/>
              <w:spacing w:after="0"/>
              <w:rPr>
                <w:sz w:val="20"/>
                <w:szCs w:val="20"/>
                <w:color w:val="auto"/>
              </w:rPr>
            </w:pPr>
            <w:r>
              <w:rPr>
                <w:rFonts w:ascii="Arial" w:cs="Arial" w:eastAsia="Arial" w:hAnsi="Arial"/>
                <w:sz w:val="16"/>
                <w:szCs w:val="16"/>
                <w:color w:val="auto"/>
              </w:rPr>
              <w:t>0.04</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Restructuring and Other Charges, net (f)</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910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10,934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2,892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8,042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0.1</w:t>
            </w: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Losses (Gains) on Sale of Assets</w:t>
            </w:r>
          </w:p>
        </w:tc>
        <w:tc>
          <w:tcPr>
            <w:tcW w:w="18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1,195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7"/>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8"/>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CTA Realization (g)</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FDA Mandated Product Recall (h)</w:t>
            </w:r>
          </w:p>
        </w:tc>
        <w:tc>
          <w:tcPr>
            <w:tcW w:w="18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7"/>
              <w:spacing w:after="0"/>
              <w:rPr>
                <w:sz w:val="20"/>
                <w:szCs w:val="20"/>
                <w:color w:val="auto"/>
              </w:rPr>
            </w:pPr>
            <w:r>
              <w:rPr>
                <w:rFonts w:ascii="Arial" w:cs="Arial" w:eastAsia="Arial" w:hAnsi="Arial"/>
                <w:sz w:val="16"/>
                <w:szCs w:val="16"/>
                <w:color w:val="auto"/>
              </w:rPr>
              <w:t>1,196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6"/>
                <w:szCs w:val="16"/>
                <w:color w:val="auto"/>
              </w:rPr>
              <w:t>3,804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8"/>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7"/>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color w:val="auto"/>
              </w:rPr>
              <w:t>2,262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8"/>
              <w:spacing w:after="0"/>
              <w:rPr>
                <w:sz w:val="20"/>
                <w:szCs w:val="20"/>
                <w:color w:val="auto"/>
              </w:rPr>
            </w:pPr>
            <w:r>
              <w:rPr>
                <w:rFonts w:ascii="Arial" w:cs="Arial" w:eastAsia="Arial" w:hAnsi="Arial"/>
                <w:sz w:val="16"/>
                <w:szCs w:val="16"/>
                <w:color w:val="auto"/>
              </w:rPr>
              <w:t>0.03</w:t>
            </w: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U.S. Tax Reform (i)</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Frutarom Acquisition Related Costs (j)</w:t>
            </w:r>
          </w:p>
        </w:tc>
        <w:tc>
          <w:tcPr>
            <w:tcW w:w="18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36,989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7"/>
              <w:spacing w:after="0"/>
              <w:rPr>
                <w:sz w:val="20"/>
                <w:szCs w:val="20"/>
                <w:color w:val="auto"/>
              </w:rPr>
            </w:pPr>
            <w:r>
              <w:rPr>
                <w:rFonts w:ascii="Arial" w:cs="Arial" w:eastAsia="Arial" w:hAnsi="Arial"/>
                <w:sz w:val="16"/>
                <w:szCs w:val="16"/>
                <w:color w:val="auto"/>
              </w:rPr>
              <w:t>6,543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8"/>
              <w:spacing w:after="0"/>
              <w:rPr>
                <w:sz w:val="20"/>
                <w:szCs w:val="20"/>
                <w:color w:val="auto"/>
              </w:rPr>
            </w:pPr>
            <w:r>
              <w:rPr>
                <w:rFonts w:ascii="Arial" w:cs="Arial" w:eastAsia="Arial" w:hAnsi="Arial"/>
                <w:sz w:val="16"/>
                <w:szCs w:val="16"/>
                <w:color w:val="auto"/>
              </w:rPr>
              <w:t>30,446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8"/>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Adjusted (Non-GAAP)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326,752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6"/>
                <w:szCs w:val="16"/>
                <w:color w:val="auto"/>
              </w:rPr>
              <w:t>60,042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266,710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307,043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66,789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240,254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3.02</w:t>
            </w: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right="80" w:hanging="465"/>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2018, represents accelerated depreciation related to a plant relocation in India. For 2017, represents accelerated depreciation and idle labor costs in Hangzhou, China.</w:t>
      </w:r>
    </w:p>
    <w:p>
      <w:pPr>
        <w:spacing w:after="0" w:line="8" w:lineRule="exact"/>
        <w:rPr>
          <w:rFonts w:ascii="Arial" w:cs="Arial" w:eastAsia="Arial" w:hAnsi="Arial"/>
          <w:sz w:val="18"/>
          <w:szCs w:val="18"/>
          <w:color w:val="auto"/>
        </w:rPr>
      </w:pPr>
    </w:p>
    <w:p>
      <w:pPr>
        <w:ind w:left="500" w:right="320" w:hanging="465"/>
        <w:spacing w:after="0" w:line="279"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 2018, represents adjustments to the contingent consideration payable for PowderPure, and transaction costs related to Fragrance Resources and PowderPure within Selling and administrative expenses. For 2017, represents the amortization of inventory "step-up" related to the acquisitions of David Michael, Fragrance Resources and PowderPure, included in cost of goods sold and transaction costs related to the acquisitions of David Michael, Fragrance Resources and PowderPure, included in Selling and administrative expenses.</w:t>
      </w:r>
    </w:p>
    <w:p>
      <w:pPr>
        <w:spacing w:after="0" w:line="9" w:lineRule="exact"/>
        <w:rPr>
          <w:rFonts w:ascii="Arial" w:cs="Arial" w:eastAsia="Arial" w:hAnsi="Arial"/>
          <w:sz w:val="17"/>
          <w:szCs w:val="17"/>
          <w:color w:val="auto"/>
        </w:rPr>
      </w:pPr>
    </w:p>
    <w:p>
      <w:pPr>
        <w:ind w:left="500" w:right="520" w:hanging="465"/>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2018, represents costs related to the integration of David Michael. For 2017, represents costs related to the integration of David Michael and Fragrance Resources acquisitions.</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additional charge related to litigation settlement.</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reserve for payment of a tax assessment related to commercial rent for prior periods.</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severance costs related to the 2017 Productivity Program and Taiwan lab closure.</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release of CTA related to the liquidation of a foreign entity.</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management's best estimate of losses related to the previously disclosed FDA mandated recall.</w:t>
      </w:r>
    </w:p>
    <w:p>
      <w:pPr>
        <w:spacing w:after="0" w:line="63" w:lineRule="exact"/>
        <w:rPr>
          <w:rFonts w:ascii="Arial" w:cs="Arial" w:eastAsia="Arial" w:hAnsi="Arial"/>
          <w:sz w:val="18"/>
          <w:szCs w:val="18"/>
          <w:color w:val="auto"/>
        </w:rPr>
      </w:pPr>
    </w:p>
    <w:p>
      <w:pPr>
        <w:ind w:left="500" w:hanging="465"/>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charges incurred related to enactment of certain U.S. tax legislation changes in December 2017.</w:t>
      </w:r>
    </w:p>
    <w:p>
      <w:pPr>
        <w:spacing w:after="0" w:line="63" w:lineRule="exact"/>
        <w:rPr>
          <w:rFonts w:ascii="Arial" w:cs="Arial" w:eastAsia="Arial" w:hAnsi="Arial"/>
          <w:sz w:val="18"/>
          <w:szCs w:val="18"/>
          <w:color w:val="auto"/>
        </w:rPr>
      </w:pPr>
    </w:p>
    <w:p>
      <w:pPr>
        <w:ind w:left="500" w:right="140" w:hanging="465"/>
        <w:spacing w:after="0" w:line="286"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transaction-related costs and expenses related to the pending acquisition of Frutarom. Amount includes $10.6 million of bridge loan commitment fees included in Interest expense, $25.0 million mark-to-market loss adjustment on an interest rate derivative and an $11.0 million mark-to-market gain adjustment on a foreign currency derivative, and $12.5 million of transaction costs included in administrative expenses.</w:t>
      </w:r>
    </w:p>
    <w:p>
      <w:pPr>
        <w:spacing w:after="0" w:line="3" w:lineRule="exact"/>
        <w:rPr>
          <w:rFonts w:ascii="Arial" w:cs="Arial" w:eastAsia="Arial" w:hAnsi="Arial"/>
          <w:sz w:val="17"/>
          <w:szCs w:val="17"/>
          <w:color w:val="auto"/>
        </w:rPr>
      </w:pPr>
    </w:p>
    <w:p>
      <w:pPr>
        <w:ind w:left="500" w:right="160" w:hanging="465"/>
        <w:spacing w:after="0" w:line="299"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except for those items which are non-taxable for which the tax expense (benefit) was calculated at 0%. For second quarter of 2018, certain non-GAAP adjustments were subject to valuation allowances and therefore was calculated at 0%.</w:t>
      </w:r>
    </w:p>
    <w:p>
      <w:pPr>
        <w:spacing w:after="0" w:line="1" w:lineRule="exact"/>
        <w:rPr>
          <w:rFonts w:ascii="Arial" w:cs="Arial" w:eastAsia="Arial" w:hAnsi="Arial"/>
          <w:sz w:val="16"/>
          <w:szCs w:val="16"/>
          <w:color w:val="auto"/>
        </w:rPr>
      </w:pPr>
    </w:p>
    <w:p>
      <w:pPr>
        <w:ind w:left="500" w:hanging="465"/>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sum of these items does not foot due to rounding.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B. Foreign Currency Reconciliation</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9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2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4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3"/>
                <w:szCs w:val="23"/>
                <w:color w:val="auto"/>
              </w:rPr>
            </w:pPr>
          </w:p>
        </w:tc>
        <w:tc>
          <w:tcPr>
            <w:tcW w:w="1820" w:type="dxa"/>
            <w:vAlign w:val="bottom"/>
          </w:tcPr>
          <w:p>
            <w:pPr>
              <w:jc w:val="center"/>
              <w:ind w:right="93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2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2018</w:t>
            </w:r>
          </w:p>
        </w:tc>
        <w:tc>
          <w:tcPr>
            <w:tcW w:w="18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02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2018</w:t>
            </w:r>
          </w:p>
        </w:tc>
        <w:tc>
          <w:tcPr>
            <w:tcW w:w="1820" w:type="dxa"/>
            <w:vAlign w:val="bottom"/>
          </w:tcPr>
          <w:p>
            <w:pPr>
              <w:jc w:val="center"/>
              <w:ind w:left="37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Profit:</w:t>
            </w: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Change - Reported (GAAP)</w:t>
            </w:r>
          </w:p>
        </w:tc>
        <w:tc>
          <w:tcPr>
            <w:tcW w:w="102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7"/>
              </w:rPr>
              <w:t>1.9%</w:t>
            </w:r>
          </w:p>
        </w:tc>
        <w:tc>
          <w:tcPr>
            <w:tcW w:w="1840" w:type="dxa"/>
            <w:vAlign w:val="bottom"/>
            <w:tcBorders>
              <w:bottom w:val="single" w:sz="8" w:color="CCEEFF"/>
            </w:tcBorders>
            <w:gridSpan w:val="3"/>
            <w:shd w:val="clear" w:color="auto" w:fill="CCEEFF"/>
          </w:tcPr>
          <w:p>
            <w:pPr>
              <w:jc w:val="center"/>
              <w:ind w:left="390"/>
              <w:spacing w:after="0"/>
              <w:rPr>
                <w:sz w:val="20"/>
                <w:szCs w:val="20"/>
                <w:color w:val="auto"/>
              </w:rPr>
            </w:pPr>
            <w:r>
              <w:rPr>
                <w:rFonts w:ascii="Arial" w:cs="Arial" w:eastAsia="Arial" w:hAnsi="Arial"/>
                <w:sz w:val="18"/>
                <w:szCs w:val="18"/>
                <w:b w:val="1"/>
                <w:bCs w:val="1"/>
                <w:color w:val="auto"/>
                <w:w w:val="98"/>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b w:val="1"/>
                <w:bCs w:val="1"/>
                <w:color w:val="auto"/>
                <w:w w:val="97"/>
              </w:rPr>
              <w:t>16.9%</w:t>
            </w:r>
          </w:p>
        </w:tc>
        <w:tc>
          <w:tcPr>
            <w:tcW w:w="18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b w:val="1"/>
                <w:bCs w:val="1"/>
                <w:color w:val="auto"/>
                <w:w w:val="95"/>
              </w:rPr>
              <w:t>(14.0)%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Items impacting comparability </w:t>
            </w:r>
            <w:r>
              <w:rPr>
                <w:rFonts w:ascii="Arial" w:cs="Arial" w:eastAsia="Arial" w:hAnsi="Arial"/>
                <w:sz w:val="25"/>
                <w:szCs w:val="25"/>
                <w:color w:val="auto"/>
                <w:vertAlign w:val="superscript"/>
              </w:rPr>
              <w:t>(1)</w:t>
            </w:r>
          </w:p>
        </w:tc>
        <w:tc>
          <w:tcPr>
            <w:tcW w:w="1020" w:type="dxa"/>
            <w:vAlign w:val="bottom"/>
          </w:tcPr>
          <w:p>
            <w:pPr>
              <w:jc w:val="center"/>
              <w:ind w:left="250"/>
              <w:spacing w:after="0"/>
              <w:rPr>
                <w:sz w:val="20"/>
                <w:szCs w:val="20"/>
                <w:color w:val="auto"/>
              </w:rPr>
            </w:pPr>
            <w:r>
              <w:rPr>
                <w:rFonts w:ascii="Arial" w:cs="Arial" w:eastAsia="Arial" w:hAnsi="Arial"/>
                <w:sz w:val="18"/>
                <w:szCs w:val="18"/>
                <w:color w:val="auto"/>
                <w:w w:val="87"/>
              </w:rPr>
              <w:t>1.5%</w:t>
            </w:r>
          </w:p>
        </w:tc>
        <w:tc>
          <w:tcPr>
            <w:tcW w:w="1840" w:type="dxa"/>
            <w:vAlign w:val="bottom"/>
            <w:gridSpan w:val="3"/>
          </w:tcPr>
          <w:p>
            <w:pPr>
              <w:jc w:val="center"/>
              <w:ind w:left="370"/>
              <w:spacing w:after="0"/>
              <w:rPr>
                <w:sz w:val="20"/>
                <w:szCs w:val="20"/>
                <w:color w:val="auto"/>
              </w:rPr>
            </w:pPr>
            <w:r>
              <w:rPr>
                <w:rFonts w:ascii="Arial" w:cs="Arial" w:eastAsia="Arial" w:hAnsi="Arial"/>
                <w:sz w:val="18"/>
                <w:szCs w:val="18"/>
                <w:color w:val="auto"/>
                <w:w w:val="92"/>
              </w:rPr>
              <w:t>7.2%</w:t>
            </w:r>
          </w:p>
        </w:tc>
        <w:tc>
          <w:tcPr>
            <w:tcW w:w="100" w:type="dxa"/>
            <w:vAlign w:val="bottom"/>
          </w:tcPr>
          <w:p>
            <w:pPr>
              <w:spacing w:after="0"/>
              <w:rPr>
                <w:sz w:val="23"/>
                <w:szCs w:val="23"/>
                <w:color w:val="auto"/>
              </w:rPr>
            </w:pPr>
          </w:p>
        </w:tc>
        <w:tc>
          <w:tcPr>
            <w:tcW w:w="1020" w:type="dxa"/>
            <w:vAlign w:val="bottom"/>
          </w:tcPr>
          <w:p>
            <w:pPr>
              <w:jc w:val="center"/>
              <w:ind w:left="270"/>
              <w:spacing w:after="0"/>
              <w:rPr>
                <w:sz w:val="20"/>
                <w:szCs w:val="20"/>
                <w:color w:val="auto"/>
              </w:rPr>
            </w:pPr>
            <w:r>
              <w:rPr>
                <w:rFonts w:ascii="Arial" w:cs="Arial" w:eastAsia="Arial" w:hAnsi="Arial"/>
                <w:sz w:val="18"/>
                <w:szCs w:val="18"/>
                <w:color w:val="auto"/>
                <w:w w:val="94"/>
              </w:rPr>
              <w:t>(7.4)%</w:t>
            </w:r>
          </w:p>
        </w:tc>
        <w:tc>
          <w:tcPr>
            <w:tcW w:w="1820" w:type="dxa"/>
            <w:vAlign w:val="bottom"/>
          </w:tcPr>
          <w:p>
            <w:pPr>
              <w:jc w:val="center"/>
              <w:ind w:left="370"/>
              <w:spacing w:after="0"/>
              <w:rPr>
                <w:sz w:val="20"/>
                <w:szCs w:val="20"/>
                <w:color w:val="auto"/>
              </w:rPr>
            </w:pPr>
            <w:r>
              <w:rPr>
                <w:rFonts w:ascii="Arial" w:cs="Arial" w:eastAsia="Arial" w:hAnsi="Arial"/>
                <w:sz w:val="18"/>
                <w:szCs w:val="18"/>
                <w:color w:val="auto"/>
                <w:w w:val="93"/>
              </w:rPr>
              <w:t>12.4%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Change - Adjusted (Non-GAAP)</w:t>
            </w:r>
          </w:p>
        </w:tc>
        <w:tc>
          <w:tcPr>
            <w:tcW w:w="102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7"/>
              </w:rPr>
              <w:t>3.3%</w:t>
            </w:r>
          </w:p>
        </w:tc>
        <w:tc>
          <w:tcPr>
            <w:tcW w:w="1840" w:type="dxa"/>
            <w:vAlign w:val="bottom"/>
            <w:tcBorders>
              <w:bottom w:val="single" w:sz="8" w:color="CCEEFF"/>
            </w:tcBorders>
            <w:gridSpan w:val="3"/>
            <w:shd w:val="clear" w:color="auto" w:fill="CCEEFF"/>
          </w:tcPr>
          <w:p>
            <w:pPr>
              <w:jc w:val="center"/>
              <w:ind w:left="390"/>
              <w:spacing w:after="0"/>
              <w:rPr>
                <w:sz w:val="20"/>
                <w:szCs w:val="20"/>
                <w:color w:val="auto"/>
              </w:rPr>
            </w:pPr>
            <w:r>
              <w:rPr>
                <w:rFonts w:ascii="Arial" w:cs="Arial" w:eastAsia="Arial" w:hAnsi="Arial"/>
                <w:sz w:val="18"/>
                <w:szCs w:val="18"/>
                <w:b w:val="1"/>
                <w:bCs w:val="1"/>
                <w:color w:val="auto"/>
                <w:w w:val="97"/>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7"/>
              </w:rPr>
              <w:t>9.5%</w:t>
            </w:r>
          </w:p>
        </w:tc>
        <w:tc>
          <w:tcPr>
            <w:tcW w:w="18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b w:val="1"/>
                <w:bCs w:val="1"/>
                <w:color w:val="auto"/>
                <w:w w:val="98"/>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Currency Impact</w:t>
            </w:r>
          </w:p>
        </w:tc>
        <w:tc>
          <w:tcPr>
            <w:tcW w:w="1020" w:type="dxa"/>
            <w:vAlign w:val="bottom"/>
          </w:tcPr>
          <w:p>
            <w:pPr>
              <w:jc w:val="center"/>
              <w:ind w:left="250"/>
              <w:spacing w:after="0"/>
              <w:rPr>
                <w:sz w:val="20"/>
                <w:szCs w:val="20"/>
                <w:color w:val="auto"/>
              </w:rPr>
            </w:pPr>
            <w:r>
              <w:rPr>
                <w:rFonts w:ascii="Arial" w:cs="Arial" w:eastAsia="Arial" w:hAnsi="Arial"/>
                <w:sz w:val="18"/>
                <w:szCs w:val="18"/>
                <w:color w:val="auto"/>
                <w:w w:val="90"/>
              </w:rPr>
              <w:t>(5.7)%</w:t>
            </w:r>
          </w:p>
        </w:tc>
        <w:tc>
          <w:tcPr>
            <w:tcW w:w="1840" w:type="dxa"/>
            <w:vAlign w:val="bottom"/>
            <w:gridSpan w:val="3"/>
          </w:tcPr>
          <w:p>
            <w:pPr>
              <w:jc w:val="center"/>
              <w:ind w:left="370"/>
              <w:spacing w:after="0"/>
              <w:rPr>
                <w:sz w:val="20"/>
                <w:szCs w:val="20"/>
                <w:color w:val="auto"/>
              </w:rPr>
            </w:pPr>
            <w:r>
              <w:rPr>
                <w:rFonts w:ascii="Arial" w:cs="Arial" w:eastAsia="Arial" w:hAnsi="Arial"/>
                <w:sz w:val="18"/>
                <w:szCs w:val="18"/>
                <w:color w:val="auto"/>
                <w:w w:val="92"/>
              </w:rPr>
              <w:t>2.5%</w:t>
            </w:r>
          </w:p>
        </w:tc>
        <w:tc>
          <w:tcPr>
            <w:tcW w:w="100" w:type="dxa"/>
            <w:vAlign w:val="bottom"/>
          </w:tcPr>
          <w:p>
            <w:pPr>
              <w:spacing w:after="0"/>
              <w:rPr>
                <w:sz w:val="21"/>
                <w:szCs w:val="21"/>
                <w:color w:val="auto"/>
              </w:rPr>
            </w:pPr>
          </w:p>
        </w:tc>
        <w:tc>
          <w:tcPr>
            <w:tcW w:w="1020" w:type="dxa"/>
            <w:vAlign w:val="bottom"/>
          </w:tcPr>
          <w:p>
            <w:pPr>
              <w:jc w:val="center"/>
              <w:ind w:left="270"/>
              <w:spacing w:after="0"/>
              <w:rPr>
                <w:sz w:val="20"/>
                <w:szCs w:val="20"/>
                <w:color w:val="auto"/>
              </w:rPr>
            </w:pPr>
            <w:r>
              <w:rPr>
                <w:rFonts w:ascii="Arial" w:cs="Arial" w:eastAsia="Arial" w:hAnsi="Arial"/>
                <w:sz w:val="18"/>
                <w:szCs w:val="18"/>
                <w:color w:val="auto"/>
                <w:w w:val="94"/>
              </w:rPr>
              <w:t>(4.8)%</w:t>
            </w:r>
          </w:p>
        </w:tc>
        <w:tc>
          <w:tcPr>
            <w:tcW w:w="1820" w:type="dxa"/>
            <w:vAlign w:val="bottom"/>
          </w:tcPr>
          <w:p>
            <w:pPr>
              <w:jc w:val="center"/>
              <w:ind w:left="370"/>
              <w:spacing w:after="0"/>
              <w:rPr>
                <w:sz w:val="20"/>
                <w:szCs w:val="20"/>
                <w:color w:val="auto"/>
              </w:rPr>
            </w:pPr>
            <w:r>
              <w:rPr>
                <w:rFonts w:ascii="Arial" w:cs="Arial" w:eastAsia="Arial" w:hAnsi="Arial"/>
                <w:sz w:val="18"/>
                <w:szCs w:val="18"/>
                <w:color w:val="auto"/>
                <w:w w:val="87"/>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4"/>
              </w:rPr>
              <w:t>% Change Year-over-Year - Currency Neutral Adjusted (Non-GAAP)**</w:t>
            </w:r>
          </w:p>
        </w:tc>
        <w:tc>
          <w:tcPr>
            <w:tcW w:w="102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8"/>
              </w:rPr>
              <w:t>(2.4)%</w:t>
            </w:r>
          </w:p>
        </w:tc>
        <w:tc>
          <w:tcPr>
            <w:tcW w:w="1840" w:type="dxa"/>
            <w:vAlign w:val="bottom"/>
            <w:tcBorders>
              <w:bottom w:val="single" w:sz="8" w:color="CCEEFF"/>
            </w:tcBorders>
            <w:gridSpan w:val="3"/>
            <w:shd w:val="clear" w:color="auto" w:fill="CCEEFF"/>
          </w:tcPr>
          <w:p>
            <w:pPr>
              <w:jc w:val="center"/>
              <w:ind w:left="390"/>
              <w:spacing w:after="0"/>
              <w:rPr>
                <w:sz w:val="20"/>
                <w:szCs w:val="20"/>
                <w:color w:val="auto"/>
              </w:rPr>
            </w:pPr>
            <w:r>
              <w:rPr>
                <w:rFonts w:ascii="Arial" w:cs="Arial" w:eastAsia="Arial" w:hAnsi="Arial"/>
                <w:sz w:val="18"/>
                <w:szCs w:val="18"/>
                <w:b w:val="1"/>
                <w:bCs w:val="1"/>
                <w:color w:val="auto"/>
                <w:w w:val="97"/>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7"/>
              </w:rPr>
              <w:t>4.7%</w:t>
            </w:r>
          </w:p>
        </w:tc>
        <w:tc>
          <w:tcPr>
            <w:tcW w:w="18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b w:val="1"/>
                <w:bCs w:val="1"/>
                <w:color w:val="auto"/>
                <w:w w:val="97"/>
              </w:rPr>
              <w:t>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0" w:right="100" w:firstLine="2"/>
        <w:spacing w:after="0" w:line="227" w:lineRule="auto"/>
        <w:tabs>
          <w:tab w:leader="none" w:pos="252" w:val="left"/>
        </w:tabs>
        <w:numPr>
          <w:ilvl w:val="1"/>
          <w:numId w:val="27"/>
        </w:numPr>
        <w:rPr>
          <w:rFonts w:ascii="Arial" w:cs="Arial" w:eastAsia="Arial" w:hAnsi="Arial"/>
          <w:sz w:val="23"/>
          <w:szCs w:val="23"/>
          <w:color w:val="auto"/>
          <w:vertAlign w:val="superscript"/>
        </w:rPr>
      </w:pPr>
      <w:r>
        <w:rPr>
          <w:rFonts w:ascii="Arial" w:cs="Arial" w:eastAsia="Arial" w:hAnsi="Arial"/>
          <w:sz w:val="17"/>
          <w:szCs w:val="17"/>
          <w:color w:val="auto"/>
        </w:rPr>
        <w:t>Includes items impacting comparability of $15.3 million and $12.7 million for the three months ended June 30, 2018 and June 30, 2017, respectively, and $21.5 million and $38.7 million for the six months ended June 30, 2018 and June 30, 2017, respectively.</w:t>
      </w:r>
    </w:p>
    <w:p>
      <w:pPr>
        <w:spacing w:after="0" w:line="1" w:lineRule="exact"/>
        <w:rPr>
          <w:rFonts w:ascii="Arial" w:cs="Arial" w:eastAsia="Arial" w:hAnsi="Arial"/>
          <w:sz w:val="23"/>
          <w:szCs w:val="23"/>
          <w:color w:val="auto"/>
          <w:vertAlign w:val="superscript"/>
        </w:rPr>
      </w:pPr>
    </w:p>
    <w:p>
      <w:pPr>
        <w:ind w:left="60" w:right="220"/>
        <w:spacing w:after="0" w:line="261" w:lineRule="auto"/>
        <w:rPr>
          <w:rFonts w:ascii="Arial" w:cs="Arial" w:eastAsia="Arial" w:hAnsi="Arial"/>
          <w:sz w:val="23"/>
          <w:szCs w:val="23"/>
          <w:color w:val="auto"/>
          <w:vertAlign w:val="superscript"/>
        </w:rPr>
      </w:pPr>
      <w:r>
        <w:rPr>
          <w:rFonts w:ascii="Arial" w:cs="Arial" w:eastAsia="Arial" w:hAnsi="Arial"/>
          <w:sz w:val="18"/>
          <w:szCs w:val="18"/>
          <w:color w:val="auto"/>
        </w:rPr>
        <w:t>** Currency neutral amount is calculated by translating prior year amounts at the exchange rates used for the corresponding 2018 period. Currency neutral operating profit also eliminates the year-over-year impact of cash flow hedging.</w:t>
      </w:r>
    </w:p>
    <w:p>
      <w:pPr>
        <w:spacing w:after="0" w:line="125" w:lineRule="exact"/>
        <w:rPr>
          <w:rFonts w:ascii="Arial" w:cs="Arial" w:eastAsia="Arial" w:hAnsi="Arial"/>
          <w:sz w:val="23"/>
          <w:szCs w:val="23"/>
          <w:color w:val="auto"/>
          <w:vertAlign w:val="superscript"/>
        </w:rPr>
      </w:pPr>
    </w:p>
    <w:p>
      <w:pPr>
        <w:ind w:left="220" w:hanging="212"/>
        <w:spacing w:after="0"/>
        <w:tabs>
          <w:tab w:leader="none" w:pos="2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Related Intangible Asset Amortization</w:t>
      </w:r>
    </w:p>
    <w:p>
      <w:pPr>
        <w:spacing w:after="0" w:line="17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 tracks the amount of amortization recorded on recent acquisitions in order to monitor its progress with respect to its Vision 2020 goals. The following amounts were recorded with respect to recent acquisitions: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7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26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4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Pr>
          <w:p>
            <w:pPr>
              <w:spacing w:after="0"/>
              <w:rPr>
                <w:sz w:val="23"/>
                <w:szCs w:val="23"/>
                <w:color w:val="auto"/>
              </w:rPr>
            </w:pPr>
          </w:p>
        </w:tc>
        <w:tc>
          <w:tcPr>
            <w:tcW w:w="16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8"/>
              </w:rPr>
              <w:t>June 30,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r>
      <w:tr>
        <w:trPr>
          <w:trHeight w:val="223"/>
        </w:trPr>
        <w:tc>
          <w:tcPr>
            <w:tcW w:w="60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92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2018</w:t>
            </w:r>
          </w:p>
        </w:tc>
        <w:tc>
          <w:tcPr>
            <w:tcW w:w="172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19"/>
                <w:szCs w:val="19"/>
                <w:color w:val="auto"/>
              </w:rPr>
            </w:pPr>
          </w:p>
        </w:tc>
        <w:tc>
          <w:tcPr>
            <w:tcW w:w="92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2018</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2017</w:t>
            </w: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PowderPure</w:t>
            </w:r>
          </w:p>
        </w:tc>
        <w:tc>
          <w:tcPr>
            <w:tcW w:w="920" w:type="dxa"/>
            <w:vAlign w:val="bottom"/>
          </w:tcPr>
          <w:p>
            <w:pPr>
              <w:jc w:val="center"/>
              <w:ind w:left="230"/>
              <w:spacing w:after="0"/>
              <w:rPr>
                <w:sz w:val="20"/>
                <w:szCs w:val="20"/>
                <w:color w:val="auto"/>
              </w:rPr>
            </w:pPr>
            <w:r>
              <w:rPr>
                <w:rFonts w:ascii="Arial" w:cs="Arial" w:eastAsia="Arial" w:hAnsi="Arial"/>
                <w:sz w:val="18"/>
                <w:szCs w:val="18"/>
                <w:color w:val="auto"/>
                <w:w w:val="89"/>
              </w:rPr>
              <w:t>$690</w:t>
            </w:r>
          </w:p>
        </w:tc>
        <w:tc>
          <w:tcPr>
            <w:tcW w:w="172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$586</w:t>
            </w:r>
          </w:p>
        </w:tc>
        <w:tc>
          <w:tcPr>
            <w:tcW w:w="120" w:type="dxa"/>
            <w:vAlign w:val="bottom"/>
          </w:tcPr>
          <w:p>
            <w:pPr>
              <w:spacing w:after="0"/>
              <w:rPr>
                <w:sz w:val="20"/>
                <w:szCs w:val="20"/>
                <w:color w:val="auto"/>
              </w:rPr>
            </w:pPr>
          </w:p>
        </w:tc>
        <w:tc>
          <w:tcPr>
            <w:tcW w:w="920" w:type="dxa"/>
            <w:vAlign w:val="bottom"/>
          </w:tcPr>
          <w:p>
            <w:pPr>
              <w:jc w:val="center"/>
              <w:ind w:left="230"/>
              <w:spacing w:after="0"/>
              <w:rPr>
                <w:sz w:val="20"/>
                <w:szCs w:val="20"/>
                <w:color w:val="auto"/>
              </w:rPr>
            </w:pPr>
            <w:r>
              <w:rPr>
                <w:rFonts w:ascii="Arial" w:cs="Arial" w:eastAsia="Arial" w:hAnsi="Arial"/>
                <w:sz w:val="18"/>
                <w:szCs w:val="18"/>
                <w:color w:val="auto"/>
                <w:w w:val="87"/>
              </w:rPr>
              <w:t>$1,379</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$586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Fragrance Resources</w:t>
            </w:r>
          </w:p>
        </w:tc>
        <w:tc>
          <w:tcPr>
            <w:tcW w:w="92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8"/>
              </w:rPr>
              <w:t>1,969</w:t>
            </w:r>
          </w:p>
        </w:tc>
        <w:tc>
          <w:tcPr>
            <w:tcW w:w="1720" w:type="dxa"/>
            <w:vAlign w:val="bottom"/>
            <w:tcBorders>
              <w:bottom w:val="single" w:sz="8" w:color="CCEEFF"/>
            </w:tcBorders>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8"/>
              </w:rPr>
              <w:t>1,527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8"/>
              </w:rPr>
              <w:t>3,928</w:t>
            </w:r>
          </w:p>
        </w:tc>
        <w:tc>
          <w:tcPr>
            <w:tcW w:w="1680" w:type="dxa"/>
            <w:vAlign w:val="bottom"/>
            <w:tcBorders>
              <w:bottom w:val="single" w:sz="8" w:color="CCEEFF"/>
            </w:tcBorders>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8"/>
              </w:rPr>
              <w:t>2,784</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David Michael</w:t>
            </w:r>
          </w:p>
        </w:tc>
        <w:tc>
          <w:tcPr>
            <w:tcW w:w="920" w:type="dxa"/>
            <w:vAlign w:val="bottom"/>
          </w:tcPr>
          <w:p>
            <w:pPr>
              <w:jc w:val="center"/>
              <w:ind w:left="230"/>
              <w:spacing w:after="0"/>
              <w:rPr>
                <w:sz w:val="20"/>
                <w:szCs w:val="20"/>
                <w:color w:val="auto"/>
              </w:rPr>
            </w:pPr>
            <w:r>
              <w:rPr>
                <w:rFonts w:ascii="Arial" w:cs="Arial" w:eastAsia="Arial" w:hAnsi="Arial"/>
                <w:sz w:val="18"/>
                <w:szCs w:val="18"/>
                <w:color w:val="auto"/>
                <w:w w:val="88"/>
              </w:rPr>
              <w:t>1,131</w:t>
            </w:r>
          </w:p>
        </w:tc>
        <w:tc>
          <w:tcPr>
            <w:tcW w:w="172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1,135</w:t>
            </w:r>
          </w:p>
        </w:tc>
        <w:tc>
          <w:tcPr>
            <w:tcW w:w="120" w:type="dxa"/>
            <w:vAlign w:val="bottom"/>
          </w:tcPr>
          <w:p>
            <w:pPr>
              <w:spacing w:after="0"/>
              <w:rPr>
                <w:sz w:val="21"/>
                <w:szCs w:val="21"/>
                <w:color w:val="auto"/>
              </w:rPr>
            </w:pPr>
          </w:p>
        </w:tc>
        <w:tc>
          <w:tcPr>
            <w:tcW w:w="920" w:type="dxa"/>
            <w:vAlign w:val="bottom"/>
          </w:tcPr>
          <w:p>
            <w:pPr>
              <w:jc w:val="center"/>
              <w:ind w:left="230"/>
              <w:spacing w:after="0"/>
              <w:rPr>
                <w:sz w:val="20"/>
                <w:szCs w:val="20"/>
                <w:color w:val="auto"/>
              </w:rPr>
            </w:pPr>
            <w:r>
              <w:rPr>
                <w:rFonts w:ascii="Arial" w:cs="Arial" w:eastAsia="Arial" w:hAnsi="Arial"/>
                <w:sz w:val="18"/>
                <w:szCs w:val="18"/>
                <w:color w:val="auto"/>
                <w:w w:val="88"/>
              </w:rPr>
              <w:t>2,261</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1,730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Lucas Meyer</w:t>
            </w:r>
          </w:p>
        </w:tc>
        <w:tc>
          <w:tcPr>
            <w:tcW w:w="92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8"/>
              </w:rPr>
              <w:t>2,363</w:t>
            </w:r>
          </w:p>
        </w:tc>
        <w:tc>
          <w:tcPr>
            <w:tcW w:w="1720" w:type="dxa"/>
            <w:vAlign w:val="bottom"/>
            <w:tcBorders>
              <w:bottom w:val="single" w:sz="8" w:color="CCEEFF"/>
            </w:tcBorders>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8"/>
              </w:rPr>
              <w:t>1,891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8"/>
              </w:rPr>
              <w:t>4,336</w:t>
            </w:r>
          </w:p>
        </w:tc>
        <w:tc>
          <w:tcPr>
            <w:tcW w:w="1680" w:type="dxa"/>
            <w:vAlign w:val="bottom"/>
            <w:tcBorders>
              <w:bottom w:val="single" w:sz="8" w:color="CCEEFF"/>
            </w:tcBorders>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8"/>
              </w:rPr>
              <w:t>3,750</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Ottens Flavors</w:t>
            </w:r>
          </w:p>
        </w:tc>
        <w:tc>
          <w:tcPr>
            <w:tcW w:w="920" w:type="dxa"/>
            <w:vAlign w:val="bottom"/>
          </w:tcPr>
          <w:p>
            <w:pPr>
              <w:jc w:val="center"/>
              <w:ind w:left="230"/>
              <w:spacing w:after="0"/>
              <w:rPr>
                <w:sz w:val="20"/>
                <w:szCs w:val="20"/>
                <w:color w:val="auto"/>
              </w:rPr>
            </w:pPr>
            <w:r>
              <w:rPr>
                <w:rFonts w:ascii="Arial" w:cs="Arial" w:eastAsia="Arial" w:hAnsi="Arial"/>
                <w:sz w:val="18"/>
                <w:szCs w:val="18"/>
                <w:color w:val="auto"/>
                <w:w w:val="88"/>
              </w:rPr>
              <w:t>1,571</w:t>
            </w:r>
          </w:p>
        </w:tc>
        <w:tc>
          <w:tcPr>
            <w:tcW w:w="172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1,571</w:t>
            </w:r>
          </w:p>
        </w:tc>
        <w:tc>
          <w:tcPr>
            <w:tcW w:w="120" w:type="dxa"/>
            <w:vAlign w:val="bottom"/>
          </w:tcPr>
          <w:p>
            <w:pPr>
              <w:spacing w:after="0"/>
              <w:rPr>
                <w:sz w:val="21"/>
                <w:szCs w:val="21"/>
                <w:color w:val="auto"/>
              </w:rPr>
            </w:pPr>
          </w:p>
        </w:tc>
        <w:tc>
          <w:tcPr>
            <w:tcW w:w="920" w:type="dxa"/>
            <w:vAlign w:val="bottom"/>
          </w:tcPr>
          <w:p>
            <w:pPr>
              <w:jc w:val="center"/>
              <w:ind w:left="230"/>
              <w:spacing w:after="0"/>
              <w:rPr>
                <w:sz w:val="20"/>
                <w:szCs w:val="20"/>
                <w:color w:val="auto"/>
              </w:rPr>
            </w:pPr>
            <w:r>
              <w:rPr>
                <w:rFonts w:ascii="Arial" w:cs="Arial" w:eastAsia="Arial" w:hAnsi="Arial"/>
                <w:sz w:val="18"/>
                <w:szCs w:val="18"/>
                <w:color w:val="auto"/>
                <w:w w:val="88"/>
              </w:rPr>
              <w:t>3,142</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3,142</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175"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Statements in this Form 10-Q, which are not historical facts or information, are “forward-looking statements” within the meaning of The Private Securities Litigation Reform Act of 1995. Such forward-looking statements are based on management’s current assumptions, estimates and expectations and include statements concerning (i) the consummation of the pending acquisition of Frutarom, (ii) the timing and amount of planned debt and equity financings to fund the acquisition consideration to be paid in the Frutarom acquisition, (iii) expected increases in raw material costs in 2018, (iii) the impact of operational performance, cost reduction efforts and mix enhancement on margin improvement, (iv) estimates of provisional tax charges related to the Tax Act and the impact on our effective tax rate for 2018; and (v) the amount of expected pension contributions in 2018.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“expect”, “anticipate”, “believe”, “intend”, “outlook”, “may”, “estimate”, “should”, “predict” and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factors include, among others, the following:</w:t>
      </w:r>
    </w:p>
    <w:p>
      <w:pPr>
        <w:spacing w:after="0" w:line="61" w:lineRule="exact"/>
        <w:rPr>
          <w:sz w:val="20"/>
          <w:szCs w:val="20"/>
          <w:color w:val="auto"/>
        </w:rPr>
      </w:pPr>
    </w:p>
    <w:p>
      <w:pPr>
        <w:ind w:left="660" w:right="28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obtain required regulatory approvals for the pending Frutarom acquisition, the timing of obtaining such approvals and the risk that such approvals may result in the imposition of conditions that could adversely affect the combined company or the expected benefits of the acquisition;</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 that a condition to closing of the Frutarom acquisition may not be satisfied on a timely basis or at all;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2" w:right="239" w:bottom="1440" w:gutter="0" w:footer="0" w:header="0"/>
        </w:sectPr>
      </w:pPr>
    </w:p>
    <w:bookmarkStart w:id="45" w:name="page46"/>
    <w:bookmarkEnd w:id="45"/>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of the pending Frutarom transaction to close for any other reason;</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uncertainties as to access to available financing (including financing for the acquisition or refinancing of our debt or Frutarom debt) on a timely basis and on reasonable terms;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our proposed financings on liquidity and flexibility to respond to other business opportunities;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costs, liabilities, charges or expenses resulting from the pending Frutarom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effects on our stock price resulting from the pending Frutarom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potential adverse reactions, changes to business relationships or competitive responses resulting from the pending Frutarom acquisition;</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effectively compete in our market, and to successfully develop new products that appeal to our customers and consumers;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provide our customers with innovative, cost-effective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a disruption in our manufacturing operations, our supply chain or our relationship with our suppliers;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BASF supply chain disruption on the supply and price of a key ingredient in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recently-enacted Tax Act on our effective tax rate in 2018 and beyond;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react in a timely manner to changes in the consumer products industry related to health and wellness;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benefit from our investments and expansion in emerging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comply with, and the costs associated with compliance with, U.S. and foreign environmental protection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realize the expected cost savings and efficiencies from our profitability improvement initiatives and other optimization activities;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the integrity of our raw materials, supply chain and finished goods, and comply with applicable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adverse impact on the availability, effectiveness and cost of our hedging and risk management strategies;</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uncertainties regarding the outcome of, or funding requirements, related to litigation or settlement of pending litigation, uncertain tax positions or other contingencies;</w:t>
      </w:r>
    </w:p>
    <w:p>
      <w:pPr>
        <w:spacing w:after="0" w:line="62"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changes in our tax rates, tax liabilities, the adoption of new United States or international tax legislation, or changes in existing tax laws;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successfully estimate the impact of certain accounting and tax matters.</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future events, or otherwise.</w:t>
      </w:r>
    </w:p>
    <w:p>
      <w:pPr>
        <w:spacing w:after="0" w:line="127"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Any public statements or disclosures by the Company following this report that modify or impact any of the forward-looking statements contained in or accompanying this report will be deemed to modify or supersede such outlook or other forward-looking statements in or accompanying this report.</w:t>
      </w:r>
    </w:p>
    <w:p>
      <w:pPr>
        <w:spacing w:after="0" w:line="9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the 2017 Form 10-K, Part II. Item 1A. Risk Factors of our Form 10-Q for the quarter ended March 31, 2018, and Part II. Item 1A., Risk Factors of this Form 10-Q for additional information regarding factors that could affect our results of operations, financial condition and cash flow.</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692"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changes in market risk from the information provided in our 2017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Chief Executive Officer and Chief Financial Officer have also concluded that there have not been any changes in our internal control over financial reporting during the quarter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742" w:right="27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$5.0 million.</w:t>
      </w:r>
    </w:p>
    <w:p>
      <w:pPr>
        <w:spacing w:after="0" w:line="127"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We are also a party to other litigations arising in the ordinary course of our business. We do not expect the outcome of these cases, singly or in the aggregate, to have a material effect on our consolidated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risks and uncertainties discussed below supplement the risks and uncertainties previously disclosed in Part I, Item 1A. of the 2017 Form 10-K and in Part II Item 1A. of our Quarterly Report on Form 10-Q for the quarter ended March 31,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Pending Acquisition of Frutarom</w:t>
      </w:r>
    </w:p>
    <w:p>
      <w:pPr>
        <w:spacing w:after="0" w:line="38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we are unable to complete our pending acquisition of Frutarom, in a timely manner or at all, our business and our stock price may be adversely affected.</w:t>
      </w:r>
    </w:p>
    <w:p>
      <w:pPr>
        <w:spacing w:after="0" w:line="32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and Frutarom’s obligations to consummate the pending acquisition of Frutarom are subject to the satisfaction or waiver of customary conditions, including (i) the expiration or early termination of the waiting period applicable to the consummation of the acquisition under the Hart-Scott-Rodino Antitrust Improvements Act of 1976, as amended, and the receipt of regulatory clearance under certain foreign antitrust laws, including the European Union; (ii) receipt of all governmental and stock exchange approvals necessary for the issuance of shares as contemplated by the merger agreement, (iii) the absence of any order, or the enactment of any law, prohibiting the pending acquisition; (iv) subject to certain exceptions, the accuracy of the representations and warranties of the parties and compliance by the parties with their respective obligations under the merger agreement; and (v) the absence of any material adverse effect on Frutarom or our company since the date of the merger agreement. The required satisfaction of the closing conditions could delay the completion of the pending acquisition for a significant period of time or prevent it from occurring. Any delay in completing the pending acquisition of Frutarom could cause us not to realize some or all of the benefits that we expect to achieve following the pending acquisition. Furthermore, our ability to access the bridge financing facility is subject to customary conditions. As many of these conditions are outside of our control, we cannot assure you if the conditions to the completion of the pending acquisition of Frutarom and the associated financings will be satisfied in a timely manner or at all which may affect when and whether the pending acquisition of Frutarom will occur.</w:t>
      </w:r>
    </w:p>
    <w:p>
      <w:pPr>
        <w:spacing w:after="0" w:line="342"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If the pending acquisition of Frutarom is not completed or is delayed, our share price could fall to the extent that our current price reflects an assumption that the pending acquisition will be completed on the expected time line. Furthermore, if the pending acquisition is delayed or is not completed and the merger agreement is terminated, we may suffer other consequences that could adversely affect our business, results of operations and share price, including the following: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8" w:name="page49"/>
    <w:bookmarkEnd w:id="48"/>
    <w:p>
      <w:pPr>
        <w:ind w:left="660" w:right="3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incurred and will continue to incur costs relating to the pending acquisition (including significant legal and financial advisory fees), and many of these costs are payable by us whether or not the acquisition is completed;</w:t>
      </w:r>
    </w:p>
    <w:p>
      <w:pPr>
        <w:spacing w:after="0" w:line="62"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matters relating to the pending acquisition (including integration planning) may require substantial commitments of time and resources by our management team, which could otherwise have been devoted to our historical core businesses or other opportunities that may have been beneficial to us;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legal proceedings related to the pending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failure to consummate the pending acquisition may result in negative publicity and a negative impression of us in the investment community; and</w:t>
      </w:r>
    </w:p>
    <w:p>
      <w:pPr>
        <w:spacing w:after="0" w:line="140" w:lineRule="exact"/>
        <w:rPr>
          <w:rFonts w:ascii="Arial" w:cs="Arial" w:eastAsia="Arial" w:hAnsi="Arial"/>
          <w:sz w:val="16"/>
          <w:szCs w:val="16"/>
          <w:color w:val="auto"/>
        </w:rPr>
      </w:pPr>
    </w:p>
    <w:p>
      <w:pPr>
        <w:ind w:left="660" w:right="2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disruptions to our business resulting from the announcement and pendency of the acquisition, including any adverse changes in our relationships with our customers, suppliers and employees, may continue or intensify in the event the pending acquisition is delayed or is not completed.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benefits anticipated from the pending acquisition of Frutarom, which could adversely affect our stock price.</w:t>
      </w:r>
    </w:p>
    <w:p>
      <w:pPr>
        <w:spacing w:after="0" w:line="391" w:lineRule="exact"/>
        <w:rPr>
          <w:sz w:val="20"/>
          <w:szCs w:val="20"/>
          <w:color w:val="auto"/>
        </w:rPr>
      </w:pPr>
    </w:p>
    <w:p>
      <w:pPr>
        <w:ind w:right="240" w:firstLine="486"/>
        <w:spacing w:after="0" w:line="276" w:lineRule="auto"/>
        <w:rPr>
          <w:sz w:val="20"/>
          <w:szCs w:val="20"/>
          <w:color w:val="auto"/>
        </w:rPr>
      </w:pPr>
      <w:r>
        <w:rPr>
          <w:rFonts w:ascii="Arial" w:cs="Arial" w:eastAsia="Arial" w:hAnsi="Arial"/>
          <w:sz w:val="17"/>
          <w:szCs w:val="17"/>
          <w:color w:val="auto"/>
        </w:rPr>
        <w:t>If completed, the pending acquisition of Frutarom, will be our largest acquisition to date. The anticipated benefits from the pending acquisition are, necessarily, based on projections and assumptions about the combined businesses of our company and Frutarom, which may not materialize as expected or which may prove to be inaccurate. Our ability to achieve the anticipated benefits will depend on our ability to successfully and efficiently integrate the business and operations of Frutarom with our business and achieve the expected synergies. We may encounter significant challenges with successfully integrating and recognizing the anticipated benefits of the pending acquisition, including the following:</w:t>
      </w:r>
    </w:p>
    <w:p>
      <w:pPr>
        <w:spacing w:after="0" w:line="281" w:lineRule="exact"/>
        <w:rPr>
          <w:sz w:val="20"/>
          <w:szCs w:val="20"/>
          <w:color w:val="auto"/>
        </w:rPr>
      </w:pPr>
    </w:p>
    <w:p>
      <w:pPr>
        <w:ind w:left="660" w:right="4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disruption of, or reduced growth in, our historical core businesses, due to diversion of management attention and uncertainty with our current customer and supplier relationships;</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challenges arising from the expansion of our product offerings into adjacencies with which we have limited experience, including flavor ingredients, food additives and nutraceuticals;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challenges arising from the expansion into those Frutarom jurisdictions where we do not currently operate or have significant operations;</w:t>
      </w:r>
    </w:p>
    <w:p>
      <w:pPr>
        <w:spacing w:after="0" w:line="128" w:lineRule="exact"/>
        <w:rPr>
          <w:rFonts w:ascii="Arial" w:cs="Arial" w:eastAsia="Arial" w:hAnsi="Arial"/>
          <w:sz w:val="17"/>
          <w:szCs w:val="17"/>
          <w:color w:val="auto"/>
        </w:rPr>
      </w:pPr>
    </w:p>
    <w:p>
      <w:pPr>
        <w:ind w:left="660" w:right="3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coordinating and integrating research and development teams across technologies and products to enhance product development while reducing costs;</w:t>
      </w:r>
    </w:p>
    <w:p>
      <w:pPr>
        <w:spacing w:after="0" w:line="62"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consolidating and integrating corporate, information technology, finance and administrative infrastructures, and integrating and harmonizing business systems, which may be more difficult than anticipated due to the significant number of acquisitions completed by Frutarom over the past few years;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coordinating sales and marketing efforts to effectively position our capabilities and the direction of product development;</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 from combining Frutarom's business with our business;</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prior to the completion of the pending acquisition on the ability of management of our company and of Frutarom to conduct planning regarding the integration of the two companies;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increased scale and complexity of our operations resulting from the pending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retaining key employees, suppliers and other partners of our company and Frutarom;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retaining and efficiently managing Frutarom’s expanded and decentralized customer base;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obligations that we will have to counterparties of Frutarom that arise as a result of the change in control of Frutarom;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in anticipating and responding to actions that may be taken by competitors in response to the pending acquisition;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assumption of and exposure to unknown or contingent liabilities of Frutarom.</w:t>
      </w:r>
    </w:p>
    <w:p>
      <w:pPr>
        <w:spacing w:after="0" w:line="171"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In addition, our anticipated benefits of the transaction with Frutarom contemplate significant cost-saving synergies. Consequently, even if we are able to successfully integrate the operations of Frutarom with ours, we may not realize the full benefits of the pending acquisition if we are unable to identify and implement the anticipated cost savings or if the actions taken to implement such cost-savings have unintended consequences on our other business operations.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692" w:right="259" w:bottom="1440" w:gutter="0" w:footer="0" w:header="0"/>
        </w:sectPr>
      </w:pPr>
    </w:p>
    <w:bookmarkStart w:id="49" w:name="page50"/>
    <w:bookmarkEnd w:id="49"/>
    <w:p>
      <w:pPr>
        <w:ind w:right="80" w:firstLine="486"/>
        <w:spacing w:after="0" w:line="264" w:lineRule="auto"/>
        <w:rPr>
          <w:sz w:val="20"/>
          <w:szCs w:val="20"/>
          <w:color w:val="auto"/>
        </w:rPr>
      </w:pPr>
      <w:r>
        <w:rPr>
          <w:rFonts w:ascii="Arial" w:cs="Arial" w:eastAsia="Arial" w:hAnsi="Arial"/>
          <w:sz w:val="18"/>
          <w:szCs w:val="18"/>
          <w:color w:val="auto"/>
        </w:rPr>
        <w:t>If we do not successfully manage these issues and the other challenges inherent in integrating an acquired business of the scale of Frutarom, then we may not achieve the anticipated benefits of the pending acquisition of Frutarom, we could incur unanticipated expenses and charges and our operating results and the value of our common stock could be materially and adversely affected.</w:t>
      </w:r>
    </w:p>
    <w:p>
      <w:pPr>
        <w:spacing w:after="0" w:line="33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Uncertainty about the pending acquisition of Frutarom may adversely affect our relationships with our customers and employees, which could negatively affect our business, whether or not the pending acquisition is completed.</w:t>
      </w:r>
    </w:p>
    <w:p>
      <w:pPr>
        <w:spacing w:after="0" w:line="32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announcement of the pending acquisition of Frutarom may cause uncertainties in our relationships with our customers which could impair our ability to or expand our historical customer sales growth. Furthermore, uncertainties about the pending acquisition may cause our current and prospective employees to experience uncertainty about their future with us. These uncertainties may impair our ability to retain, recruit or motivate key employees which could affect our business.</w:t>
      </w:r>
    </w:p>
    <w:p>
      <w:pPr>
        <w:spacing w:after="0" w:line="34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The pending acquisition of Frutarom may result in significant charges or other liabilities that could adversely affect the financial results of the combined company.</w:t>
      </w:r>
    </w:p>
    <w:p>
      <w:pPr>
        <w:spacing w:after="0" w:line="328"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Our financial results following the acquisition may be adversely affected by cash expenses and non-cash accounting charges incurred in connection with our integration of the business and operations of Frutarom. Furthermore, as a result of the transaction we will record a significant amount of goodwill and other intangible assets on our consolidated financial statements, which could be subject to impairment based upon future adverse changes in our business or prospects including our inability to recognize the benefits anticipated by the pending acquisition.</w:t>
      </w:r>
    </w:p>
    <w:p>
      <w:pPr>
        <w:spacing w:after="0" w:line="334"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In addition, upon the completion of the pending acquisition, we will be liable for some or all of Frutarom's liabilities, including unknown and contingent liabilities that Frutarom assumed in connection with their prior acquisitions, that we may have failed to or been unable to identify in the course of performing due diligence. A significant component of Frutarom’s growth in recent years has come through acquisitions, as they have completed 47 acquisitions since 2011, including 22 since the beginning of 2016. Our ability to accurately identify and assess the magnitude of the liabilities assumed by Frutarom in these acquisitions may be limited by, among other things, the information available to us and Frutarom and the limited operating experience that Frutarom has with these acquired entities. Furthermore, Frutarom has additional future obligations regarding certain of these acquisitions, including outstanding earn-out obligations and put options requiring Frutarom to purchase additional shares in the acquired companies. If we are not able to completely assess the scope of these liabilities or if these liabilities are neither probable nor estimable at this time, our future financial results could be adversely affected by unanticipated reserves or charges, unexpected litigation or regulatory exposure, unfavorable accounting charges, unexpected increases in taxes due, a loss of anticipated tax benefits or other adverse effects on our business, operating results or financial condition. The price of our common stock following the pending acquisition could decline to the extent the combined company’s financial results are materially affected by any of these events.</w:t>
      </w:r>
    </w:p>
    <w:p>
      <w:pPr>
        <w:spacing w:after="0" w:line="331"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The regulatory approvals required in connection with the pending acquisition of Frutarom may not be obtained or may contain materially burdensome conditions.</w:t>
      </w:r>
    </w:p>
    <w:p>
      <w:pPr>
        <w:spacing w:after="0" w:line="328"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Completion of the pending acquisition of Frutarom is conditioned upon the receipt of certain regulatory approvals, and we cannot provide assurance that these approvals will be obtained. If any conditions or changes to the proposed structure of the pending acquisition are required to obtain these regulatory approvals, they may have the effect of jeopardizing or delaying completion of the pending acquisition or reducing the anticipated benefits of the pending acquisition. If we agree to any material conditions in order to obtain any approvals required to complete the pending acquisition, the business and results of operations of the combined company may be adversely affected.</w:t>
      </w:r>
    </w:p>
    <w:p>
      <w:pPr>
        <w:spacing w:after="0" w:line="34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The use of cash and incurrence of significant indebtedness in connection with the financing of the pending acquisition of Frutarom may have an adverse impact on our liquidity, limit our flexibility in responding to other business opportunities and increase our vulnerability to adverse economic and industry conditions.</w:t>
      </w:r>
    </w:p>
    <w:p>
      <w:pPr>
        <w:spacing w:after="0" w:line="34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pending acquisition of Frutarom will be financed in part by the use of our cash on hand, the incurrence of a significant amount of indebtedness and issuances of equity. As of June 30, 2018, we had approximately $322.4 million of cash and cash equivalents and approximately $1.7 billion of total debt outstanding. In connection with the pending acquisition, we expect to incur significant new debt. The proceeds from the new debt are expected to be used to pay part of the purchase price, refinance existing debt of both our company and Frutarom and pay transaction related fees and expenses. If we are unable to raise financing on acceptable terms, we may need to rely on our bridge loan facility, which may result in higher borrowing costs and a shorter maturity than those from other anticipated financing alternatives. The use of cash on hand and indebtedness to finance the pending acquisition will reduce our liquidity and could cause us to place more reliance on cash generated from</w:t>
      </w:r>
    </w:p>
    <w:p>
      <w:pPr>
        <w:sectPr>
          <w:pgSz w:w="11900" w:h="16838" w:orient="portrait"/>
          <w:cols w:equalWidth="0" w:num="1">
            <w:col w:w="11400"/>
          </w:cols>
          <w:pgMar w:left="240" w:top="746" w:right="2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746" w:right="259" w:bottom="1440" w:gutter="0" w:footer="0" w:header="0"/>
          <w:type w:val="continuous"/>
        </w:sectPr>
      </w:pPr>
    </w:p>
    <w:bookmarkStart w:id="50" w:name="page51"/>
    <w:bookmarkEnd w:id="50"/>
    <w:p>
      <w:pPr>
        <w:ind w:right="240"/>
        <w:spacing w:after="0" w:line="259" w:lineRule="auto"/>
        <w:rPr>
          <w:sz w:val="20"/>
          <w:szCs w:val="20"/>
          <w:color w:val="auto"/>
        </w:rPr>
      </w:pPr>
      <w:r>
        <w:rPr>
          <w:rFonts w:ascii="Arial" w:cs="Arial" w:eastAsia="Arial" w:hAnsi="Arial"/>
          <w:sz w:val="18"/>
          <w:szCs w:val="18"/>
          <w:color w:val="auto"/>
        </w:rPr>
        <w:t>operations to pay principal and interest on our debt, thereby reducing the availability of our cash flow for working capital, dividend and capital expenditure needs or to pursue other potential strategic plans. The increased indebtedness may also have the effect, among other things, of limiting our ability to obtain additional financing, if needed, limiting our flexibility in the conduct of our business and making us more vulnerable to economic downturns and adverse competitive and industry conditions.</w:t>
      </w:r>
    </w:p>
    <w:p>
      <w:pPr>
        <w:spacing w:after="0" w:line="34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The issuance of shares of our common stock to Frutarom shareholders in connection with the pending acquisition of Frutarom and to finance part of the cash consideration for the pending acquisition, and any future offerings of securities by us, will dilute our shareholders’ ownership interest in the company.</w:t>
      </w:r>
    </w:p>
    <w:p>
      <w:pPr>
        <w:spacing w:after="0" w:line="34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pending acquisition of Frutarom will be financed in part by the issuance of shares of our common stock to shareholders of Frutarom, comprising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18.9% of our issued and outstanding shares of common stock, based on the number of issued and outstanding shares of our common stock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4, 2018 and Frutarom’s estimated fully diluted shares of common stock outstanding on March 31, 2018. In addition, we expect to issue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 billion in equity to raise part of the cash consideration for the pending acquisition of Frutarom. These issuances of additional shares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dilute our existing shareholders ownership interest in our company, and will result in our existing shareholders having a reduced ownership and voting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in our company following the completion of these transactions.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in connection with the pending acquisition of Frutarom.</w:t>
      </w:r>
    </w:p>
    <w:p>
      <w:pPr>
        <w:spacing w:after="0" w:line="39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Lawsuits may be filed against us, Frutarom, our respective subsidiaries, or our respective directors or executive officers in connection with the pending acquisition and the related transactions. In addition, if the pending acquisition is completed, lawsuits may be filed against the combined company following the pending acquisition. If any such lawsuit is filed, it could result in a reduction in our current stock price and our stock price following the pending acquisition, substantial costs and diversion of management’s attention and resources, which could adversely affect our business, financial condition or results of operations, whether or not a settlement or other resolution is achieved.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reflects purchases made by, or on behalf of, the Company, of shares of the Company’s common stock, reported based on the trade date, during the three months ended June 30, 2018:</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Total Number of</w:t>
            </w:r>
          </w:p>
        </w:tc>
        <w:tc>
          <w:tcPr>
            <w:tcW w:w="120" w:type="dxa"/>
            <w:vAlign w:val="bottom"/>
          </w:tcPr>
          <w:p>
            <w:pPr>
              <w:spacing w:after="0"/>
              <w:rPr>
                <w:sz w:val="17"/>
                <w:szCs w:val="17"/>
                <w:color w:val="auto"/>
              </w:rPr>
            </w:pPr>
          </w:p>
        </w:tc>
        <w:tc>
          <w:tcPr>
            <w:tcW w:w="1940" w:type="dxa"/>
            <w:vAlign w:val="bottom"/>
          </w:tcPr>
          <w:p>
            <w:pPr>
              <w:jc w:val="center"/>
              <w:ind w:right="34"/>
              <w:spacing w:after="0"/>
              <w:rPr>
                <w:sz w:val="20"/>
                <w:szCs w:val="20"/>
                <w:color w:val="auto"/>
              </w:rPr>
            </w:pPr>
            <w:r>
              <w:rPr>
                <w:rFonts w:ascii="Arial" w:cs="Arial" w:eastAsia="Arial" w:hAnsi="Arial"/>
                <w:sz w:val="16"/>
                <w:szCs w:val="16"/>
                <w:b w:val="1"/>
                <w:bCs w:val="1"/>
                <w:color w:val="auto"/>
                <w:w w:val="93"/>
              </w:rPr>
              <w:t>Approximate Dollar Value</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 Number of</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 Purchased as</w:t>
            </w:r>
          </w:p>
        </w:tc>
        <w:tc>
          <w:tcPr>
            <w:tcW w:w="120" w:type="dxa"/>
            <w:vAlign w:val="bottom"/>
          </w:tcPr>
          <w:p>
            <w:pPr>
              <w:spacing w:after="0"/>
              <w:rPr>
                <w:sz w:val="17"/>
                <w:szCs w:val="17"/>
                <w:color w:val="auto"/>
              </w:rPr>
            </w:pPr>
          </w:p>
        </w:tc>
        <w:tc>
          <w:tcPr>
            <w:tcW w:w="1940" w:type="dxa"/>
            <w:vAlign w:val="bottom"/>
          </w:tcPr>
          <w:p>
            <w:pPr>
              <w:jc w:val="center"/>
              <w:ind w:right="54"/>
              <w:spacing w:after="0"/>
              <w:rPr>
                <w:sz w:val="20"/>
                <w:szCs w:val="20"/>
                <w:color w:val="auto"/>
              </w:rPr>
            </w:pPr>
            <w:r>
              <w:rPr>
                <w:rFonts w:ascii="Arial" w:cs="Arial" w:eastAsia="Arial" w:hAnsi="Arial"/>
                <w:sz w:val="16"/>
                <w:szCs w:val="16"/>
                <w:b w:val="1"/>
                <w:bCs w:val="1"/>
                <w:color w:val="auto"/>
                <w:w w:val="93"/>
              </w:rPr>
              <w:t>of Shares That May Yet</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Price Paid</w:t>
            </w: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1940" w:type="dxa"/>
            <w:vAlign w:val="bottom"/>
          </w:tcPr>
          <w:p>
            <w:pPr>
              <w:jc w:val="center"/>
              <w:ind w:right="34"/>
              <w:spacing w:after="0"/>
              <w:rPr>
                <w:sz w:val="20"/>
                <w:szCs w:val="20"/>
                <w:color w:val="auto"/>
              </w:rPr>
            </w:pPr>
            <w:r>
              <w:rPr>
                <w:rFonts w:ascii="Arial" w:cs="Arial" w:eastAsia="Arial" w:hAnsi="Arial"/>
                <w:sz w:val="16"/>
                <w:szCs w:val="16"/>
                <w:b w:val="1"/>
                <w:bCs w:val="1"/>
                <w:color w:val="auto"/>
                <w:w w:val="90"/>
              </w:rPr>
              <w:t>be Purchased Under the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Period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 xml:space="preserve">Repurchased </w:t>
            </w:r>
            <w:r>
              <w:rPr>
                <w:rFonts w:ascii="Arial" w:cs="Arial" w:eastAsia="Arial" w:hAnsi="Arial"/>
                <w:sz w:val="21"/>
                <w:szCs w:val="21"/>
                <w:b w:val="1"/>
                <w:bCs w:val="1"/>
                <w:color w:val="auto"/>
                <w:w w:val="87"/>
                <w:vertAlign w:val="superscript"/>
              </w:rPr>
              <w:t>(1)</w:t>
            </w:r>
          </w:p>
        </w:tc>
        <w:tc>
          <w:tcPr>
            <w:tcW w:w="22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per Share</w:t>
            </w: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Announced Program</w:t>
            </w:r>
          </w:p>
        </w:tc>
        <w:tc>
          <w:tcPr>
            <w:tcW w:w="120" w:type="dxa"/>
            <w:vAlign w:val="bottom"/>
          </w:tcPr>
          <w:p>
            <w:pPr>
              <w:spacing w:after="0"/>
              <w:rPr>
                <w:sz w:val="21"/>
                <w:szCs w:val="21"/>
                <w:color w:val="auto"/>
              </w:rPr>
            </w:pPr>
          </w:p>
        </w:tc>
        <w:tc>
          <w:tcPr>
            <w:tcW w:w="1940" w:type="dxa"/>
            <w:vAlign w:val="bottom"/>
          </w:tcPr>
          <w:p>
            <w:pPr>
              <w:jc w:val="center"/>
              <w:ind w:right="34"/>
              <w:spacing w:after="0"/>
              <w:rPr>
                <w:sz w:val="20"/>
                <w:szCs w:val="20"/>
                <w:color w:val="auto"/>
              </w:rPr>
            </w:pPr>
            <w:r>
              <w:rPr>
                <w:rFonts w:ascii="Arial" w:cs="Arial" w:eastAsia="Arial" w:hAnsi="Arial"/>
                <w:sz w:val="16"/>
                <w:szCs w:val="16"/>
                <w:b w:val="1"/>
                <w:bCs w:val="1"/>
                <w:color w:val="auto"/>
                <w:w w:val="94"/>
              </w:rPr>
              <w:t>Program</w:t>
            </w:r>
          </w:p>
        </w:tc>
        <w:tc>
          <w:tcPr>
            <w:tcW w:w="0" w:type="dxa"/>
            <w:vAlign w:val="bottom"/>
          </w:tcPr>
          <w:p>
            <w:pPr>
              <w:spacing w:after="0"/>
              <w:rPr>
                <w:sz w:val="1"/>
                <w:szCs w:val="1"/>
                <w:color w:val="auto"/>
              </w:rPr>
            </w:pPr>
          </w:p>
        </w:tc>
      </w:tr>
      <w:tr>
        <w:trPr>
          <w:trHeight w:val="244"/>
        </w:trPr>
        <w:tc>
          <w:tcPr>
            <w:tcW w:w="1100" w:type="dxa"/>
            <w:vAlign w:val="bottom"/>
          </w:tcPr>
          <w:p>
            <w:pPr>
              <w:spacing w:after="0"/>
              <w:rPr>
                <w:sz w:val="21"/>
                <w:szCs w:val="21"/>
                <w:color w:val="auto"/>
              </w:rPr>
            </w:pPr>
          </w:p>
        </w:tc>
        <w:tc>
          <w:tcPr>
            <w:tcW w:w="2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1 - 30, 2018</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280,385,836</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May 1 - 31, 2018</w:t>
            </w:r>
          </w:p>
        </w:tc>
        <w:tc>
          <w:tcPr>
            <w:tcW w:w="1480" w:type="dxa"/>
            <w:vAlign w:val="bottom"/>
          </w:tcPr>
          <w:p>
            <w:pPr>
              <w:jc w:val="right"/>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141.02</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279,666,206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00" w:type="dxa"/>
            <w:vAlign w:val="bottom"/>
          </w:tcPr>
          <w:p>
            <w:pPr>
              <w:spacing w:after="0"/>
              <w:rPr>
                <w:sz w:val="23"/>
                <w:szCs w:val="23"/>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1 - 30, 2018</w:t>
            </w: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279,666,206</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140" w:type="dxa"/>
            <w:vAlign w:val="bottom"/>
          </w:tcPr>
          <w:p>
            <w:pPr>
              <w:ind w:left="26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32,314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139.21</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32,314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279,666,206</w:t>
            </w:r>
          </w:p>
        </w:tc>
        <w:tc>
          <w:tcPr>
            <w:tcW w:w="0" w:type="dxa"/>
            <w:vAlign w:val="bottom"/>
          </w:tcPr>
          <w:p>
            <w:pPr>
              <w:spacing w:after="0"/>
              <w:rPr>
                <w:sz w:val="1"/>
                <w:szCs w:val="1"/>
                <w:color w:val="auto"/>
              </w:rPr>
            </w:pPr>
          </w:p>
        </w:tc>
      </w:tr>
      <w:tr>
        <w:trPr>
          <w:trHeight w:val="27"/>
        </w:trPr>
        <w:tc>
          <w:tcPr>
            <w:tcW w:w="3240" w:type="dxa"/>
            <w:vAlign w:val="bottom"/>
            <w:gridSpan w:val="2"/>
            <w:vMerge w:val="restart"/>
          </w:tcPr>
          <w:p>
            <w:pPr>
              <w:jc w:val="right"/>
              <w:ind w:right="1072"/>
              <w:spacing w:after="0"/>
              <w:rPr>
                <w:sz w:val="20"/>
                <w:szCs w:val="20"/>
                <w:color w:val="auto"/>
              </w:rPr>
            </w:pPr>
            <w:r>
              <w:rPr>
                <w:rFonts w:ascii="Arial" w:cs="Arial" w:eastAsia="Arial" w:hAnsi="Arial"/>
                <w:sz w:val="18"/>
                <w:szCs w:val="18"/>
                <w:color w:val="auto"/>
                <w:w w:val="89"/>
              </w:rPr>
              <w:t>_______________________</w:t>
            </w: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continue"/>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160" w:hanging="412"/>
        <w:spacing w:after="0" w:line="264"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8"/>
          <w:szCs w:val="18"/>
          <w:color w:val="auto"/>
        </w:rPr>
        <w:t>Shares were repurchased pursuant to the Company’s share repurchase program. Authorization of the repurchase program may be modified, suspended, or discontinued at any time. On May 7, 2018, we announced plans to suspend share repurchases until our deleveraging target is met following our pending acquisition of Frutarom.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10300" w:type="dxa"/>
            <w:vAlign w:val="bottom"/>
            <w:gridSpan w:val="19"/>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Agreement and Plan of Merger, dated May 7, 2018, by and among the Registrant, Frutarom Industries Ltd. and Icon Newco Ltd., incorporated</w:t>
              </w:r>
            </w:hyperlink>
          </w:p>
        </w:tc>
      </w:tr>
      <w:tr>
        <w:trPr>
          <w:trHeight w:val="196"/>
        </w:trPr>
        <w:tc>
          <w:tcPr>
            <w:tcW w:w="1040" w:type="dxa"/>
            <w:vAlign w:val="bottom"/>
          </w:tcPr>
          <w:p>
            <w:pPr>
              <w:spacing w:after="0"/>
              <w:rPr>
                <w:sz w:val="17"/>
                <w:szCs w:val="17"/>
                <w:color w:val="auto"/>
              </w:rPr>
            </w:pPr>
          </w:p>
        </w:tc>
        <w:tc>
          <w:tcPr>
            <w:tcW w:w="1024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by reference to Exhibit 2.1 to the Registrant’s Current Report on Form 8-K filed on May 9, 2018. *</w:t>
              </w:r>
            </w:hyperlink>
          </w:p>
        </w:tc>
        <w:tc>
          <w:tcPr>
            <w:tcW w:w="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3(ii)</w:t>
            </w:r>
          </w:p>
        </w:tc>
        <w:tc>
          <w:tcPr>
            <w:tcW w:w="10080" w:type="dxa"/>
            <w:vAlign w:val="bottom"/>
            <w:tcBorders>
              <w:bottom w:val="single" w:sz="8" w:color="0000FF"/>
            </w:tcBorders>
            <w:gridSpan w:val="15"/>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Bylaws of International Flavors &amp; Fragrances Inc., effective as of May 3, 2018, incorporated by reference to Exhibit 3(ii) to the Registrant's</w:t>
              </w:r>
            </w:hyperlink>
          </w:p>
        </w:tc>
        <w:tc>
          <w:tcPr>
            <w:tcW w:w="220" w:type="dxa"/>
            <w:vAlign w:val="bottom"/>
            <w:gridSpan w:val="4"/>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19"/>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Current Report on Form 8-K filed on May 3, 2018.</w:t>
              </w:r>
            </w:hyperlink>
          </w:p>
        </w:tc>
      </w:tr>
      <w:tr>
        <w:trPr>
          <w:trHeight w:val="20"/>
        </w:trPr>
        <w:tc>
          <w:tcPr>
            <w:tcW w:w="10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9760" w:type="dxa"/>
            <w:vAlign w:val="bottom"/>
            <w:tcBorders>
              <w:bottom w:val="single" w:sz="8" w:color="0000FF"/>
            </w:tcBorders>
            <w:gridSpan w:val="11"/>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Voting Agreement, dated as of May 7, 2018, by and among the Registrant and the shareholders of Frutarom Industries Ltd. listed on the</w:t>
              </w:r>
            </w:hyperlink>
          </w:p>
        </w:tc>
        <w:tc>
          <w:tcPr>
            <w:tcW w:w="540" w:type="dxa"/>
            <w:vAlign w:val="bottom"/>
            <w:gridSpan w:val="8"/>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97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signature page thereto, incorporated by reference to Exhibit 10.1 to the Registrant’s Current Report on Form 8-K filed on May 9, 2018.</w:t>
              </w:r>
            </w:hyperlink>
          </w:p>
        </w:tc>
        <w:tc>
          <w:tcPr>
            <w:tcW w:w="580" w:type="dxa"/>
            <w:vAlign w:val="bottom"/>
            <w:gridSpan w:val="9"/>
          </w:tcPr>
          <w:p>
            <w:pPr>
              <w:spacing w:after="0"/>
              <w:rPr>
                <w:sz w:val="17"/>
                <w:szCs w:val="17"/>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9940" w:type="dxa"/>
            <w:vAlign w:val="bottom"/>
            <w:tcBorders>
              <w:bottom w:val="single" w:sz="8" w:color="0000FF"/>
            </w:tcBorders>
            <w:gridSpan w:val="14"/>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Amendment No. 1 to Credit Agreement, dated as of May 21, 2018, among the Registrant, International Flavors &amp; Fragrances (Nederland)</w:t>
              </w:r>
            </w:hyperlink>
          </w:p>
        </w:tc>
        <w:tc>
          <w:tcPr>
            <w:tcW w:w="360" w:type="dxa"/>
            <w:vAlign w:val="bottom"/>
            <w:gridSpan w:val="5"/>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Holding B.V., International Flavors &amp; Fragrances I.F.F. (Nederland) B.V. and International Flavors &amp; Fragrances (Greater Asia) PTE. Ltd., as</w:t>
              </w:r>
            </w:hyperlink>
          </w:p>
        </w:tc>
        <w:tc>
          <w:tcPr>
            <w:tcW w:w="10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19"/>
          </w:tcPr>
          <w:p>
            <w:pPr>
              <w:spacing w:after="0" w:line="196" w:lineRule="exact"/>
              <w:rPr>
                <w:rFonts w:ascii="Arial" w:cs="Arial" w:eastAsia="Arial" w:hAnsi="Arial"/>
                <w:sz w:val="18"/>
                <w:szCs w:val="18"/>
                <w:color w:val="0000FF"/>
                <w:w w:val="98"/>
              </w:rPr>
            </w:pPr>
            <w:hyperlink r:id="rId52">
              <w:r>
                <w:rPr>
                  <w:rFonts w:ascii="Arial" w:cs="Arial" w:eastAsia="Arial" w:hAnsi="Arial"/>
                  <w:sz w:val="18"/>
                  <w:szCs w:val="18"/>
                  <w:color w:val="0000FF"/>
                  <w:w w:val="98"/>
                </w:rPr>
                <w:t>borrowers, the lenders signatory thereto and Citibank, N.A. as administrative agent, incorporated by reference to Exhibit 10.1 to the</w:t>
              </w:r>
            </w:hyperlink>
          </w:p>
        </w:tc>
      </w:tr>
      <w:tr>
        <w:trPr>
          <w:trHeight w:val="196"/>
        </w:trPr>
        <w:tc>
          <w:tcPr>
            <w:tcW w:w="1040" w:type="dxa"/>
            <w:vAlign w:val="bottom"/>
          </w:tcPr>
          <w:p>
            <w:pPr>
              <w:spacing w:after="0"/>
              <w:rPr>
                <w:sz w:val="17"/>
                <w:szCs w:val="17"/>
                <w:color w:val="auto"/>
              </w:rPr>
            </w:pPr>
          </w:p>
        </w:tc>
        <w:tc>
          <w:tcPr>
            <w:tcW w:w="948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Registrant’s Current Report on Form 8-K filed on May 24, 2018.</w:t>
              </w:r>
            </w:hyperlink>
          </w:p>
        </w:tc>
        <w:tc>
          <w:tcPr>
            <w:tcW w:w="820" w:type="dxa"/>
            <w:vAlign w:val="bottom"/>
            <w:gridSpan w:val="11"/>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10300" w:type="dxa"/>
            <w:vAlign w:val="bottom"/>
            <w:gridSpan w:val="19"/>
          </w:tcPr>
          <w:p>
            <w:pPr>
              <w:spacing w:after="0"/>
              <w:rPr>
                <w:rFonts w:ascii="Arial" w:cs="Arial" w:eastAsia="Arial" w:hAnsi="Arial"/>
                <w:sz w:val="18"/>
                <w:szCs w:val="18"/>
                <w:color w:val="0000FF"/>
                <w:w w:val="94"/>
              </w:rPr>
            </w:pPr>
            <w:hyperlink r:id="rId53">
              <w:r>
                <w:rPr>
                  <w:rFonts w:ascii="Arial" w:cs="Arial" w:eastAsia="Arial" w:hAnsi="Arial"/>
                  <w:sz w:val="18"/>
                  <w:szCs w:val="18"/>
                  <w:color w:val="0000FF"/>
                  <w:w w:val="94"/>
                </w:rPr>
                <w:t>Amendment No. 2 to Credit Agreement, dated as of June 6, 2018, among the Registrant, International Flavors &amp; Fragrances (Nederland)</w:t>
              </w:r>
            </w:hyperlink>
          </w:p>
        </w:tc>
      </w:tr>
      <w:tr>
        <w:trPr>
          <w:trHeight w:val="20"/>
        </w:trPr>
        <w:tc>
          <w:tcPr>
            <w:tcW w:w="10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Holding B.V., International Flavors &amp; Fragrances I.F.F. (Nederland) B.V. and International Flavors &amp; Fragrances (Greater Asia) PTE. Ltd., as</w:t>
              </w:r>
            </w:hyperlink>
          </w:p>
        </w:tc>
        <w:tc>
          <w:tcPr>
            <w:tcW w:w="10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19"/>
          </w:tcPr>
          <w:p>
            <w:pPr>
              <w:spacing w:after="0" w:line="196"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borrowers, the lenders signatory thereto and Citibank, N.A. as administrative agent, incorporated by reference to Exhibit 10.2 to the</w:t>
              </w:r>
            </w:hyperlink>
          </w:p>
        </w:tc>
      </w:tr>
      <w:tr>
        <w:trPr>
          <w:trHeight w:val="196"/>
        </w:trPr>
        <w:tc>
          <w:tcPr>
            <w:tcW w:w="1040" w:type="dxa"/>
            <w:vAlign w:val="bottom"/>
          </w:tcPr>
          <w:p>
            <w:pPr>
              <w:spacing w:after="0"/>
              <w:rPr>
                <w:sz w:val="17"/>
                <w:szCs w:val="17"/>
                <w:color w:val="auto"/>
              </w:rPr>
            </w:pPr>
          </w:p>
        </w:tc>
        <w:tc>
          <w:tcPr>
            <w:tcW w:w="45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Registrant’s Current Report on Form 8-K filed on June 8, 2018.</w:t>
              </w:r>
            </w:hyperlink>
          </w:p>
        </w:tc>
        <w:tc>
          <w:tcPr>
            <w:tcW w:w="4900" w:type="dxa"/>
            <w:vAlign w:val="bottom"/>
            <w:tcBorders>
              <w:top w:val="single" w:sz="8" w:color="0000FF"/>
            </w:tcBorders>
            <w:gridSpan w:val="4"/>
          </w:tcPr>
          <w:p>
            <w:pPr>
              <w:spacing w:after="0"/>
              <w:rPr>
                <w:sz w:val="17"/>
                <w:szCs w:val="17"/>
                <w:color w:val="auto"/>
              </w:rPr>
            </w:pPr>
          </w:p>
        </w:tc>
        <w:tc>
          <w:tcPr>
            <w:tcW w:w="820" w:type="dxa"/>
            <w:vAlign w:val="bottom"/>
            <w:gridSpan w:val="11"/>
          </w:tcPr>
          <w:p>
            <w:pPr>
              <w:spacing w:after="0"/>
              <w:rPr>
                <w:sz w:val="17"/>
                <w:szCs w:val="17"/>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10300" w:type="dxa"/>
            <w:vAlign w:val="bottom"/>
            <w:gridSpan w:val="19"/>
          </w:tcPr>
          <w:p>
            <w:pPr>
              <w:spacing w:after="0"/>
              <w:rPr>
                <w:rFonts w:ascii="Arial" w:cs="Arial" w:eastAsia="Arial" w:hAnsi="Arial"/>
                <w:sz w:val="18"/>
                <w:szCs w:val="18"/>
                <w:color w:val="0000FF"/>
                <w:w w:val="94"/>
              </w:rPr>
            </w:pPr>
            <w:hyperlink w:anchor="page54">
              <w:r>
                <w:rPr>
                  <w:rFonts w:ascii="Arial" w:cs="Arial" w:eastAsia="Arial" w:hAnsi="Arial"/>
                  <w:sz w:val="18"/>
                  <w:szCs w:val="18"/>
                  <w:color w:val="0000FF"/>
                  <w:w w:val="94"/>
                </w:rPr>
                <w:t>Amendment No. 3 to Credit Agreement, dated as of July 13, 2018, among the Registrant, International Flavors &amp; Fragrances (Nederland)</w:t>
              </w:r>
            </w:hyperlink>
          </w:p>
        </w:tc>
      </w:tr>
      <w:tr>
        <w:trPr>
          <w:trHeight w:val="20"/>
        </w:trPr>
        <w:tc>
          <w:tcPr>
            <w:tcW w:w="10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w:anchor="page54">
              <w:r>
                <w:rPr>
                  <w:rFonts w:ascii="Arial" w:cs="Arial" w:eastAsia="Arial" w:hAnsi="Arial"/>
                  <w:sz w:val="18"/>
                  <w:szCs w:val="18"/>
                  <w:color w:val="0000FF"/>
                  <w:w w:val="91"/>
                </w:rPr>
                <w:t>Holding B.V., International Flavors &amp; Fragrances I.F.F. (Nederland) B.V. and International Flavors &amp; Fragrances (Greater Asia) PTE. Ltd., as</w:t>
              </w:r>
            </w:hyperlink>
          </w:p>
        </w:tc>
        <w:tc>
          <w:tcPr>
            <w:tcW w:w="10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602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w:anchor="page54">
              <w:r>
                <w:rPr>
                  <w:rFonts w:ascii="Arial" w:cs="Arial" w:eastAsia="Arial" w:hAnsi="Arial"/>
                  <w:sz w:val="18"/>
                  <w:szCs w:val="18"/>
                  <w:color w:val="0000FF"/>
                  <w:w w:val="90"/>
                </w:rPr>
                <w:t>borrowers, the lenders signatory thereto and Citibank, N.A. as administrative agent.</w:t>
              </w:r>
            </w:hyperlink>
          </w:p>
        </w:tc>
        <w:tc>
          <w:tcPr>
            <w:tcW w:w="4280" w:type="dxa"/>
            <w:vAlign w:val="bottom"/>
            <w:gridSpan w:val="13"/>
          </w:tcPr>
          <w:p>
            <w:pPr>
              <w:spacing w:after="0"/>
              <w:rPr>
                <w:sz w:val="17"/>
                <w:szCs w:val="17"/>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10160" w:type="dxa"/>
            <w:vAlign w:val="bottom"/>
            <w:tcBorders>
              <w:bottom w:val="single" w:sz="8" w:color="0000FF"/>
            </w:tcBorders>
            <w:gridSpan w:val="16"/>
          </w:tcPr>
          <w:p>
            <w:pPr>
              <w:spacing w:after="0"/>
              <w:rPr>
                <w:rFonts w:ascii="Arial" w:cs="Arial" w:eastAsia="Arial" w:hAnsi="Arial"/>
                <w:sz w:val="18"/>
                <w:szCs w:val="18"/>
                <w:color w:val="0000FF"/>
                <w:w w:val="89"/>
              </w:rPr>
            </w:pPr>
            <w:hyperlink r:id="rId54">
              <w:r>
                <w:rPr>
                  <w:rFonts w:ascii="Arial" w:cs="Arial" w:eastAsia="Arial" w:hAnsi="Arial"/>
                  <w:sz w:val="18"/>
                  <w:szCs w:val="18"/>
                  <w:color w:val="0000FF"/>
                  <w:w w:val="89"/>
                </w:rPr>
                <w:t>Term Loan Credit Agreement, dated as of June 6, 2018, among the Registrant, as borrower, the lenders signatory thereto and Morgan Stanley</w:t>
              </w:r>
            </w:hyperlink>
          </w:p>
        </w:tc>
        <w:tc>
          <w:tcPr>
            <w:tcW w:w="140" w:type="dxa"/>
            <w:vAlign w:val="bottom"/>
            <w:gridSpan w:val="3"/>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030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Senior Funding, Inc. as administrative agent, incorporated by reference to Exhibit 10.1 to the Registrant’s Current Report on Form 8-K filed on</w:t>
              </w:r>
            </w:hyperlink>
          </w:p>
        </w:tc>
      </w:tr>
      <w:tr>
        <w:trPr>
          <w:trHeight w:val="196"/>
        </w:trPr>
        <w:tc>
          <w:tcPr>
            <w:tcW w:w="1040" w:type="dxa"/>
            <w:vAlign w:val="bottom"/>
          </w:tcPr>
          <w:p>
            <w:pPr>
              <w:spacing w:after="0"/>
              <w:rPr>
                <w:sz w:val="17"/>
                <w:szCs w:val="17"/>
                <w:color w:val="auto"/>
              </w:rPr>
            </w:pPr>
          </w:p>
        </w:tc>
        <w:tc>
          <w:tcPr>
            <w:tcW w:w="96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54">
              <w:r>
                <w:rPr>
                  <w:rFonts w:ascii="Arial" w:cs="Arial" w:eastAsia="Arial" w:hAnsi="Arial"/>
                  <w:sz w:val="18"/>
                  <w:szCs w:val="18"/>
                  <w:color w:val="0000FF"/>
                  <w:w w:val="86"/>
                </w:rPr>
                <w:t>June 8, 2018.</w:t>
              </w:r>
            </w:hyperlink>
          </w:p>
        </w:tc>
        <w:tc>
          <w:tcPr>
            <w:tcW w:w="9340" w:type="dxa"/>
            <w:vAlign w:val="bottom"/>
            <w:gridSpan w:val="18"/>
          </w:tcPr>
          <w:p>
            <w:pPr>
              <w:spacing w:after="0"/>
              <w:rPr>
                <w:sz w:val="17"/>
                <w:szCs w:val="17"/>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10300" w:type="dxa"/>
            <w:vAlign w:val="bottom"/>
            <w:gridSpan w:val="19"/>
          </w:tcPr>
          <w:p>
            <w:pPr>
              <w:spacing w:after="0"/>
              <w:rPr>
                <w:rFonts w:ascii="Arial" w:cs="Arial" w:eastAsia="Arial" w:hAnsi="Arial"/>
                <w:sz w:val="18"/>
                <w:szCs w:val="18"/>
                <w:color w:val="0000FF"/>
                <w:w w:val="95"/>
              </w:rPr>
            </w:pPr>
            <w:hyperlink w:anchor="page70">
              <w:r>
                <w:rPr>
                  <w:rFonts w:ascii="Arial" w:cs="Arial" w:eastAsia="Arial" w:hAnsi="Arial"/>
                  <w:sz w:val="18"/>
                  <w:szCs w:val="18"/>
                  <w:color w:val="0000FF"/>
                  <w:w w:val="95"/>
                </w:rPr>
                <w:t>Amendment No 1 to Credit Agreement, dated as of July 13, 2018, among the Registrant, as borrower, the lenders signatory thereto and</w:t>
              </w:r>
            </w:hyperlink>
          </w:p>
        </w:tc>
      </w:tr>
      <w:tr>
        <w:trPr>
          <w:trHeight w:val="196"/>
        </w:trPr>
        <w:tc>
          <w:tcPr>
            <w:tcW w:w="1040" w:type="dxa"/>
            <w:vAlign w:val="bottom"/>
          </w:tcPr>
          <w:p>
            <w:pPr>
              <w:spacing w:after="0"/>
              <w:rPr>
                <w:sz w:val="17"/>
                <w:szCs w:val="17"/>
                <w:color w:val="auto"/>
              </w:rPr>
            </w:pPr>
          </w:p>
        </w:tc>
        <w:tc>
          <w:tcPr>
            <w:tcW w:w="970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70">
              <w:r>
                <w:rPr>
                  <w:rFonts w:ascii="Arial" w:cs="Arial" w:eastAsia="Arial" w:hAnsi="Arial"/>
                  <w:sz w:val="18"/>
                  <w:szCs w:val="18"/>
                  <w:color w:val="0000FF"/>
                </w:rPr>
                <w:t>Morgan Stanley Senior Funding, Inc. as administrative agent.</w:t>
              </w:r>
            </w:hyperlink>
          </w:p>
        </w:tc>
        <w:tc>
          <w:tcPr>
            <w:tcW w:w="60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1080" w:hanging="1045"/>
        <w:spacing w:after="0"/>
        <w:tabs>
          <w:tab w:leader="none" w:pos="1080" w:val="left"/>
        </w:tabs>
        <w:numPr>
          <w:ilvl w:val="0"/>
          <w:numId w:val="34"/>
        </w:numPr>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Statement re: Computation of Ratios.</w:t>
        </w:r>
      </w:hyperlink>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31.1</w:t>
            </w:r>
          </w:p>
        </w:tc>
        <w:tc>
          <w:tcPr>
            <w:tcW w:w="6920" w:type="dxa"/>
            <w:vAlign w:val="bottom"/>
            <w:gridSpan w:val="2"/>
          </w:tcPr>
          <w:p>
            <w:pPr>
              <w:spacing w:after="0"/>
              <w:rPr>
                <w:rFonts w:ascii="Arial" w:cs="Arial" w:eastAsia="Arial" w:hAnsi="Arial"/>
                <w:sz w:val="18"/>
                <w:szCs w:val="18"/>
                <w:color w:val="0000FF"/>
                <w:w w:val="96"/>
              </w:rPr>
            </w:pPr>
            <w:hyperlink w:anchor="page87">
              <w:r>
                <w:rPr>
                  <w:rFonts w:ascii="Arial" w:cs="Arial" w:eastAsia="Arial" w:hAnsi="Arial"/>
                  <w:sz w:val="18"/>
                  <w:szCs w:val="18"/>
                  <w:color w:val="0000FF"/>
                  <w:w w:val="96"/>
                </w:rPr>
                <w:t>Certification of Andreas Fibig pursuant to Section 302 of the Sarbanes-Oxley Act of 2002.</w:t>
              </w:r>
            </w:hyperlink>
          </w:p>
        </w:tc>
      </w:tr>
      <w:tr>
        <w:trPr>
          <w:trHeight w:val="20"/>
        </w:trPr>
        <w:tc>
          <w:tcPr>
            <w:tcW w:w="1040" w:type="dxa"/>
            <w:vAlign w:val="bottom"/>
          </w:tcPr>
          <w:p>
            <w:pPr>
              <w:spacing w:after="0" w:line="20" w:lineRule="exact"/>
              <w:rPr>
                <w:sz w:val="1"/>
                <w:szCs w:val="1"/>
                <w:color w:val="auto"/>
              </w:rPr>
            </w:pPr>
          </w:p>
        </w:tc>
        <w:tc>
          <w:tcPr>
            <w:tcW w:w="65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31.2</w:t>
            </w:r>
          </w:p>
        </w:tc>
        <w:tc>
          <w:tcPr>
            <w:tcW w:w="69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88">
              <w:r>
                <w:rPr>
                  <w:rFonts w:ascii="Arial" w:cs="Arial" w:eastAsia="Arial" w:hAnsi="Arial"/>
                  <w:sz w:val="18"/>
                  <w:szCs w:val="18"/>
                  <w:color w:val="0000FF"/>
                  <w:w w:val="91"/>
                </w:rPr>
                <w:t>Certification of Richard A. O'Leary pursuant to Section 302 of the Sarbanes-Oxley Act of 2002.</w:t>
              </w:r>
            </w:hyperlink>
          </w:p>
        </w:tc>
      </w:tr>
    </w:tbl>
    <w:p>
      <w:pPr>
        <w:spacing w:after="0" w:line="67" w:lineRule="exact"/>
        <w:rPr>
          <w:sz w:val="20"/>
          <w:szCs w:val="20"/>
          <w:color w:val="auto"/>
        </w:rPr>
      </w:pPr>
    </w:p>
    <w:p>
      <w:pPr>
        <w:ind w:left="1080" w:right="140" w:hanging="1045"/>
        <w:spacing w:after="0" w:line="277" w:lineRule="auto"/>
        <w:tabs>
          <w:tab w:leader="none" w:pos="1080" w:val="left"/>
        </w:tabs>
        <w:numPr>
          <w:ilvl w:val="0"/>
          <w:numId w:val="35"/>
        </w:numPr>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Certification of Andreas Fibig and Richard A. O'Leary pursuant to 18 U.S.C. Section 1350 as adopted pursuant to the Sarbanes-Oxley Act of</w:t>
        </w:r>
      </w:hyperlink>
      <w:r>
        <w:rPr>
          <w:rFonts w:ascii="Arial" w:cs="Arial" w:eastAsia="Arial" w:hAnsi="Arial"/>
          <w:sz w:val="18"/>
          <w:szCs w:val="18"/>
          <w:u w:val="single" w:color="auto"/>
          <w:color w:val="0000FF"/>
        </w:rPr>
        <w:t xml:space="preserve"> </w:t>
      </w:r>
      <w:hyperlink w:anchor="page89">
        <w:r>
          <w:rPr>
            <w:rFonts w:ascii="Arial" w:cs="Arial" w:eastAsia="Arial" w:hAnsi="Arial"/>
            <w:sz w:val="18"/>
            <w:szCs w:val="18"/>
            <w:u w:val="single" w:color="auto"/>
            <w:color w:val="0000FF"/>
          </w:rPr>
          <w:t>2002.</w:t>
        </w:r>
      </w:hyperlink>
    </w:p>
    <w:p>
      <w:pPr>
        <w:spacing w:after="0" w:line="8" w:lineRule="exact"/>
        <w:rPr>
          <w:rFonts w:ascii="Arial" w:cs="Arial" w:eastAsia="Arial" w:hAnsi="Arial"/>
          <w:sz w:val="18"/>
          <w:szCs w:val="18"/>
          <w:color w:val="auto"/>
        </w:rPr>
      </w:pPr>
    </w:p>
    <w:tbl>
      <w:tblPr>
        <w:tblLayout w:type="fixed"/>
        <w:tblInd w:w="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13" w:lineRule="exact"/>
        <w:rPr>
          <w:rFonts w:ascii="Arial" w:cs="Arial" w:eastAsia="Arial" w:hAnsi="Arial"/>
          <w:sz w:val="18"/>
          <w:szCs w:val="18"/>
          <w:color w:val="auto"/>
        </w:rPr>
      </w:pPr>
    </w:p>
    <w:p>
      <w:pPr>
        <w:ind w:left="660" w:right="30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schedules and exhibits to this agreement have been omitted in accordance with Item 601(b)(2) of Regulation S-K. A copy of any omitted schedule and/or exhibit will be furnished supplementally to the SEC upon request.</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742" w:right="279" w:bottom="1440" w:gutter="0" w:footer="0" w:header="0"/>
        </w:sectPr>
      </w:pPr>
    </w:p>
    <w:bookmarkStart w:id="52" w:name="page53"/>
    <w:bookmarkEnd w:id="5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Andreas Fibig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Andreas Fibig</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Chairman of the Board and Chief Executive Officer</w:t>
      </w:r>
    </w:p>
    <w:p>
      <w:pPr>
        <w:spacing w:after="0" w:line="185" w:lineRule="exact"/>
        <w:rPr>
          <w:sz w:val="20"/>
          <w:szCs w:val="20"/>
          <w:color w:val="auto"/>
        </w:rPr>
      </w:pPr>
    </w:p>
    <w:p>
      <w:pPr>
        <w:ind w:left="40"/>
        <w:spacing w:after="0"/>
        <w:tabs>
          <w:tab w:leader="none" w:pos="820" w:val="left"/>
          <w:tab w:leader="none" w:pos="5100" w:val="left"/>
          <w:tab w:leader="none" w:pos="5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A.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3576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Richard A. O'Leary</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Executive Vice President and 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80"/>
          </w:cols>
          <w:pgMar w:left="240" w:top="580" w:right="87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EXHIBIT 10.4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3 TO CREDIT AGREEMENT</w:t>
      </w:r>
    </w:p>
    <w:p>
      <w:pPr>
        <w:spacing w:after="0" w:line="222"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This AMENDMENT NO. 3 TO CREDIT AGREEMENT, dated as of July 13, 2018 (this “</w:t>
      </w:r>
      <w:r>
        <w:rPr>
          <w:rFonts w:ascii="Arial" w:cs="Arial" w:eastAsia="Arial" w:hAnsi="Arial"/>
          <w:sz w:val="20"/>
          <w:szCs w:val="20"/>
          <w:u w:val="single" w:color="auto"/>
          <w:color w:val="auto"/>
        </w:rPr>
        <w:t>Amendment</w:t>
      </w:r>
      <w:r>
        <w:rPr>
          <w:rFonts w:ascii="Arial" w:cs="Arial" w:eastAsia="Arial" w:hAnsi="Arial"/>
          <w:sz w:val="20"/>
          <w:szCs w:val="20"/>
          <w:color w:val="auto"/>
        </w:rPr>
        <w:t>”), is entered into among INTERNATIONAL FLAVORS &amp; FRAGRANCES INC., INTERNATIONAL FLAVORS &amp; FRAGRANCES (NEDERLAND) HOLDING B.V., INTERNATIONAL FLAVORS &amp; FRAGRANCES I.F.F. (NEDERLAND) B.V. and INTERNATIONAL FLAVORS &amp; FRAGRANCES (GREATER ASIA) PTE. LTD. (collectively, the “</w:t>
      </w:r>
      <w:r>
        <w:rPr>
          <w:rFonts w:ascii="Arial" w:cs="Arial" w:eastAsia="Arial" w:hAnsi="Arial"/>
          <w:sz w:val="20"/>
          <w:szCs w:val="20"/>
          <w:u w:val="single" w:color="auto"/>
          <w:color w:val="auto"/>
        </w:rPr>
        <w:t>Borrowers</w:t>
      </w:r>
      <w:r>
        <w:rPr>
          <w:rFonts w:ascii="Arial" w:cs="Arial" w:eastAsia="Arial" w:hAnsi="Arial"/>
          <w:sz w:val="20"/>
          <w:szCs w:val="20"/>
          <w:color w:val="auto"/>
        </w:rPr>
        <w:t>”), the Lenders signatory hereto and CITIBANK,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9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WHEREAS, the Borrowers, the Lenders from time to time party thereto and the Administrative Agent have entered into that certain Credit Agreement, dated as of November 9, 2011 and as amended and restated as of December 2, 2016 and as amended as of May 21, 2018 and amended and restated as of June 6, 2018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8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WHEREAS, pursuant to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of the Credit Agreement, the Borrowers, the Lenders party hereto (constituting the Required Lenders) and the Administrative Agent have agreed to amend the Credit Agreement as provided for herein.</w:t>
      </w:r>
    </w:p>
    <w:p>
      <w:pPr>
        <w:spacing w:after="0" w:line="15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NOW, THEREFORE, in consideration of the mutual execution hereof and other good and valuable consideration, the parties hereto hereby agree as follows:</w:t>
      </w:r>
    </w:p>
    <w:p>
      <w:pPr>
        <w:spacing w:after="0" w:line="190" w:lineRule="exact"/>
        <w:rPr>
          <w:sz w:val="20"/>
          <w:szCs w:val="20"/>
          <w:color w:val="auto"/>
        </w:rPr>
      </w:pPr>
    </w:p>
    <w:p>
      <w:pPr>
        <w:ind w:left="2740" w:hanging="787"/>
        <w:spacing w:after="0"/>
        <w:tabs>
          <w:tab w:leader="none" w:pos="2740" w:val="left"/>
        </w:tabs>
        <w:numPr>
          <w:ilvl w:val="1"/>
          <w:numId w:val="37"/>
        </w:numPr>
        <w:rPr>
          <w:rFonts w:ascii="Arial" w:cs="Arial" w:eastAsia="Arial" w:hAnsi="Arial"/>
          <w:sz w:val="16"/>
          <w:szCs w:val="16"/>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herein and not otherwise defined herein have the meanings given in</w:t>
      </w:r>
    </w:p>
    <w:p>
      <w:pPr>
        <w:spacing w:after="0" w:line="4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the Credit Agreement.</w:t>
      </w:r>
    </w:p>
    <w:p>
      <w:pPr>
        <w:spacing w:after="0" w:line="26" w:lineRule="exact"/>
        <w:rPr>
          <w:rFonts w:ascii="Arial" w:cs="Arial" w:eastAsia="Arial" w:hAnsi="Arial"/>
          <w:sz w:val="16"/>
          <w:szCs w:val="16"/>
          <w:color w:val="auto"/>
        </w:rPr>
      </w:pPr>
    </w:p>
    <w:p>
      <w:pPr>
        <w:ind w:firstLine="1305"/>
        <w:spacing w:after="0" w:line="264" w:lineRule="auto"/>
        <w:tabs>
          <w:tab w:leader="none" w:pos="2080" w:val="left"/>
        </w:tabs>
        <w:numPr>
          <w:ilvl w:val="0"/>
          <w:numId w:val="38"/>
        </w:numPr>
        <w:rPr>
          <w:rFonts w:ascii="Arial" w:cs="Arial" w:eastAsia="Arial" w:hAnsi="Arial"/>
          <w:sz w:val="18"/>
          <w:szCs w:val="18"/>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Upon satisfaction of the conditions set forth in Section 3 hereof, Section 5.03 of the Credit Agreement is hereby amended and restated in its entirety to read as follows:</w:t>
      </w:r>
    </w:p>
    <w:p>
      <w:pPr>
        <w:spacing w:after="0" w:line="1" w:lineRule="exact"/>
        <w:rPr>
          <w:rFonts w:ascii="Arial" w:cs="Arial" w:eastAsia="Arial" w:hAnsi="Arial"/>
          <w:sz w:val="18"/>
          <w:szCs w:val="18"/>
          <w:color w:val="auto"/>
        </w:rPr>
      </w:pPr>
    </w:p>
    <w:p>
      <w:pPr>
        <w:jc w:val="both"/>
        <w:ind w:left="1300"/>
        <w:spacing w:after="0" w:line="253" w:lineRule="auto"/>
        <w:rPr>
          <w:rFonts w:ascii="Arial" w:cs="Arial" w:eastAsia="Arial" w:hAnsi="Arial"/>
          <w:sz w:val="18"/>
          <w:szCs w:val="18"/>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Financial Covenant</w:t>
      </w:r>
      <w:r>
        <w:rPr>
          <w:rFonts w:ascii="Arial" w:cs="Arial" w:eastAsia="Arial" w:hAnsi="Arial"/>
          <w:sz w:val="19"/>
          <w:szCs w:val="19"/>
          <w:color w:val="auto"/>
        </w:rPr>
        <w:t xml:space="preserve">. So long as any Advance shall remain unpaid or any Lender shall have any Commitment hereunder, the Company shall maintain a Leverage Ratio as of the end of any Relevant Period of (x) prior to the Palate Closing Date, not more than 3.50 to 1.00 and (y) commencing on and after the Palate Closing Date, not more than 4.50 to 1.00, which limit shall step down to (i) 4.25 to 1.00 as of the end of the third full fiscal quarter ended after the Palate Closing Date, (ii) 4.00 to 1.00 as of the end of the fifth full fiscal quarter ended after the Palate Closing Date and (iii) 3.50 to 1.00 as of the end of the ninth full fiscal quarter after the Palate Closing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Specified Equity Offering shall not have been consummated on or prior to the Palate Closing Date, instead of being required to maintain a Leverage Ratio of not more than 4.50 to 1.00 as of the end of any Relevant Period ending during the period starting from the Palate Closing Date through and including the end of the first full fiscal quarter after the Palate Closing Date, the Company shall instead be required to maintain a Leverage Ratio of not more than 6.00 to 1.00 as of the end of any Relevant Period ending during the period starting from the Palate Closing Date through and including the end of the first full fiscal quarter after the Palate Closing Date and thereafter shall step down to 4.50 to 1.00 and shall further step down as set forth above; </w:t>
      </w:r>
      <w:r>
        <w:rPr>
          <w:rFonts w:ascii="Arial" w:cs="Arial" w:eastAsia="Arial" w:hAnsi="Arial"/>
          <w:sz w:val="19"/>
          <w:szCs w:val="19"/>
          <w:i w:val="1"/>
          <w:iCs w:val="1"/>
          <w:color w:val="auto"/>
        </w:rPr>
        <w:t>provided further</w:t>
      </w:r>
      <w:r>
        <w:rPr>
          <w:rFonts w:ascii="Arial" w:cs="Arial" w:eastAsia="Arial" w:hAnsi="Arial"/>
          <w:sz w:val="19"/>
          <w:szCs w:val="19"/>
          <w:color w:val="auto"/>
        </w:rPr>
        <w:t>, that commencing on and after the end of the eighth full fiscal quarter after the Palate Closing Date, if the Company consummates an acquisition of all or substantially all of the assets of a Person, or of any business or division of a Person, for which it paid at least $500,000,000 in consideration (a “</w:t>
      </w:r>
      <w:r>
        <w:rPr>
          <w:rFonts w:ascii="Arial" w:cs="Arial" w:eastAsia="Arial" w:hAnsi="Arial"/>
          <w:sz w:val="19"/>
          <w:szCs w:val="19"/>
          <w:b w:val="1"/>
          <w:bCs w:val="1"/>
          <w:color w:val="auto"/>
        </w:rPr>
        <w:t>Qualifying Acquisition</w:t>
      </w:r>
      <w:r>
        <w:rPr>
          <w:rFonts w:ascii="Arial" w:cs="Arial" w:eastAsia="Arial" w:hAnsi="Arial"/>
          <w:sz w:val="19"/>
          <w:szCs w:val="19"/>
          <w:color w:val="auto"/>
        </w:rPr>
        <w:t>”), the maximum Leverage Ratio shall step up to no greater than 3.75 to 1.00, which shall be reduced to 3.50 to 1.00 as of the end of the third full fiscal quarter after such Qualifying Acquisition.</w:t>
      </w:r>
    </w:p>
    <w:p>
      <w:pPr>
        <w:spacing w:after="0" w:line="209" w:lineRule="exact"/>
        <w:rPr>
          <w:rFonts w:ascii="Arial" w:cs="Arial" w:eastAsia="Arial" w:hAnsi="Arial"/>
          <w:sz w:val="18"/>
          <w:szCs w:val="18"/>
          <w:color w:val="auto"/>
        </w:rPr>
      </w:pPr>
    </w:p>
    <w:p>
      <w:pPr>
        <w:ind w:left="660" w:firstLine="1293"/>
        <w:spacing w:after="0" w:line="289" w:lineRule="auto"/>
        <w:tabs>
          <w:tab w:leader="none" w:pos="2740" w:val="left"/>
        </w:tabs>
        <w:numPr>
          <w:ilvl w:val="1"/>
          <w:numId w:val="38"/>
        </w:numPr>
        <w:rPr>
          <w:rFonts w:ascii="Arial" w:cs="Arial" w:eastAsia="Arial" w:hAnsi="Arial"/>
          <w:sz w:val="18"/>
          <w:szCs w:val="18"/>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This Amendment will become effective upon the date on which the following conditions precedent are first satisfied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w:t>
      </w:r>
    </w:p>
    <w:p>
      <w:pPr>
        <w:sectPr>
          <w:pgSz w:w="11900" w:h="16838" w:orient="portrait"/>
          <w:cols w:equalWidth="0" w:num="1">
            <w:col w:w="11420"/>
          </w:cols>
          <w:pgMar w:left="240" w:top="792" w:right="239" w:bottom="1440" w:gutter="0" w:footer="0" w:header="0"/>
        </w:sectPr>
      </w:pPr>
    </w:p>
    <w:bookmarkStart w:id="54" w:name="page55"/>
    <w:bookmarkEnd w:id="54"/>
    <w:p>
      <w:pPr>
        <w:jc w:val="both"/>
        <w:ind w:left="660" w:firstLine="1941"/>
        <w:spacing w:after="0" w:line="267" w:lineRule="auto"/>
        <w:tabs>
          <w:tab w:leader="none" w:pos="3453" w:val="left"/>
        </w:tabs>
        <w:numPr>
          <w:ilvl w:val="1"/>
          <w:numId w:val="39"/>
        </w:numPr>
        <w:rPr>
          <w:rFonts w:ascii="Arial" w:cs="Arial" w:eastAsia="Arial" w:hAnsi="Arial"/>
          <w:sz w:val="18"/>
          <w:szCs w:val="18"/>
          <w:color w:val="auto"/>
        </w:rPr>
      </w:pPr>
      <w:r>
        <w:rPr>
          <w:rFonts w:ascii="Arial" w:cs="Arial" w:eastAsia="Arial" w:hAnsi="Arial"/>
          <w:sz w:val="20"/>
          <w:szCs w:val="20"/>
          <w:color w:val="auto"/>
        </w:rPr>
        <w:t>The Administrative Agent shall have received from each Borrower and from the Required Lenders an executed counterpart of this Amendment (or photocopies thereof sent by fax, .pdf or other electronic means, each of which shall be enforceable with the same effect as a signed original).</w:t>
      </w:r>
    </w:p>
    <w:p>
      <w:pPr>
        <w:spacing w:after="0" w:line="2" w:lineRule="exact"/>
        <w:rPr>
          <w:rFonts w:ascii="Arial" w:cs="Arial" w:eastAsia="Arial" w:hAnsi="Arial"/>
          <w:sz w:val="18"/>
          <w:szCs w:val="18"/>
          <w:color w:val="auto"/>
        </w:rPr>
      </w:pPr>
    </w:p>
    <w:p>
      <w:pPr>
        <w:jc w:val="both"/>
        <w:ind w:firstLine="1953"/>
        <w:spacing w:after="0" w:line="297" w:lineRule="auto"/>
        <w:tabs>
          <w:tab w:leader="none" w:pos="2803" w:val="left"/>
        </w:tabs>
        <w:numPr>
          <w:ilvl w:val="0"/>
          <w:numId w:val="40"/>
        </w:numPr>
        <w:rPr>
          <w:rFonts w:ascii="Arial" w:cs="Arial" w:eastAsia="Arial" w:hAnsi="Arial"/>
          <w:sz w:val="16"/>
          <w:szCs w:val="16"/>
          <w:color w:val="auto"/>
        </w:rPr>
      </w:pPr>
      <w:r>
        <w:rPr>
          <w:rFonts w:ascii="Arial" w:cs="Arial" w:eastAsia="Arial" w:hAnsi="Arial"/>
          <w:sz w:val="18"/>
          <w:szCs w:val="18"/>
          <w:color w:val="auto"/>
        </w:rPr>
        <w:t>The Administrative Agent shall have received a certificate, dated the Amendment Effective Date and signed by a duly authorized officer of the Company, confirming (i) the representations and warranties set forth in this Amendment shall be true and correct in all material respects on and as of the Amendment Effective Date and (ii) no event shall have occurred and be continuing, or would result from this Amendment or the transactions contemplated hereby, that would, as of the Amendment Effective Date, constitute a Default.</w:t>
      </w:r>
    </w:p>
    <w:p>
      <w:pPr>
        <w:spacing w:after="0" w:line="1" w:lineRule="exact"/>
        <w:rPr>
          <w:rFonts w:ascii="Arial" w:cs="Arial" w:eastAsia="Arial" w:hAnsi="Arial"/>
          <w:sz w:val="16"/>
          <w:szCs w:val="16"/>
          <w:color w:val="auto"/>
        </w:rPr>
      </w:pPr>
    </w:p>
    <w:p>
      <w:pPr>
        <w:jc w:val="both"/>
        <w:ind w:firstLine="1953"/>
        <w:spacing w:after="0" w:line="255" w:lineRule="exact"/>
        <w:tabs>
          <w:tab w:leader="none" w:pos="2793" w:val="left"/>
        </w:tabs>
        <w:numPr>
          <w:ilvl w:val="0"/>
          <w:numId w:val="40"/>
        </w:numPr>
        <w:rPr>
          <w:rFonts w:ascii="Arial" w:cs="Arial" w:eastAsia="Arial" w:hAnsi="Arial"/>
          <w:sz w:val="16"/>
          <w:szCs w:val="16"/>
          <w:color w:val="auto"/>
        </w:rPr>
      </w:pPr>
      <w:r>
        <w:rPr>
          <w:rFonts w:ascii="Arial" w:cs="Arial" w:eastAsia="Arial" w:hAnsi="Arial"/>
          <w:sz w:val="18"/>
          <w:szCs w:val="18"/>
          <w:color w:val="auto"/>
        </w:rPr>
        <w:t>The Administrative Agent shall have received all expenses due and payable on or prior to the Amendment Effective Date, including, to the extent invoiced two (2) Business Days prior to the Amendment Effective Date, reimbursement or payment of all out-of</w:t>
      </w:r>
      <w:r>
        <w:rPr>
          <w:rFonts w:ascii="MS PGothic" w:cs="MS PGothic" w:eastAsia="MS PGothic" w:hAnsi="MS PGothic"/>
          <w:sz w:val="18"/>
          <w:szCs w:val="18"/>
          <w:color w:val="auto"/>
        </w:rPr>
        <w:t>‑</w:t>
      </w:r>
      <w:r>
        <w:rPr>
          <w:rFonts w:ascii="Arial" w:cs="Arial" w:eastAsia="Arial" w:hAnsi="Arial"/>
          <w:sz w:val="18"/>
          <w:szCs w:val="18"/>
          <w:color w:val="auto"/>
        </w:rPr>
        <w:t>pocket expenses required to be reimbursed or paid by the Borrowers under the Credit Agreement.</w:t>
      </w:r>
    </w:p>
    <w:p>
      <w:pPr>
        <w:spacing w:after="0" w:line="7" w:lineRule="exact"/>
        <w:rPr>
          <w:sz w:val="20"/>
          <w:szCs w:val="20"/>
          <w:color w:val="auto"/>
        </w:rPr>
      </w:pPr>
    </w:p>
    <w:p>
      <w:pPr>
        <w:jc w:val="both"/>
        <w:ind w:left="660" w:firstLine="1293"/>
        <w:spacing w:after="0" w:line="297" w:lineRule="auto"/>
        <w:tabs>
          <w:tab w:leader="none" w:pos="2740" w:val="left"/>
        </w:tabs>
        <w:numPr>
          <w:ilvl w:val="1"/>
          <w:numId w:val="41"/>
        </w:numPr>
        <w:rPr>
          <w:rFonts w:ascii="Arial" w:cs="Arial" w:eastAsia="Arial" w:hAnsi="Arial"/>
          <w:sz w:val="16"/>
          <w:szCs w:val="16"/>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Borrower severally, and not jointly with the other Borrowers, represents and warrants, as of the date hereof, that, after giving effect to the provisions of this Amendment, (a) each of the representations and warranties made by such Borrower in Section 4.01 of the Credit Agreement is true in all material respects on and as of the date hereof as if made on and as of the date hereof, except (i) to the extent that such representations and warranties refer to an earlier date, in which case they were true in all material respects as of such earlier date or (ii) to the extent that such representations and warranties are qualified as to materiality or Material Adverse Effect, in which case such representations and warranties shall be true in all respects, and (b) no event shall have occurred and be continuing, or would result from this Amendment or the transactions contemplated hereby, that would, as of the Amendment Effective Date, constitute a Default.</w:t>
      </w:r>
    </w:p>
    <w:p>
      <w:pPr>
        <w:spacing w:after="0" w:line="3" w:lineRule="exact"/>
        <w:rPr>
          <w:rFonts w:ascii="Arial" w:cs="Arial" w:eastAsia="Arial" w:hAnsi="Arial"/>
          <w:sz w:val="16"/>
          <w:szCs w:val="16"/>
          <w:color w:val="auto"/>
        </w:rPr>
      </w:pPr>
    </w:p>
    <w:p>
      <w:pPr>
        <w:jc w:val="both"/>
        <w:ind w:firstLine="1305"/>
        <w:spacing w:after="0" w:line="281" w:lineRule="auto"/>
        <w:tabs>
          <w:tab w:leader="none" w:pos="2080" w:val="left"/>
        </w:tabs>
        <w:numPr>
          <w:ilvl w:val="0"/>
          <w:numId w:val="42"/>
        </w:numPr>
        <w:rPr>
          <w:rFonts w:ascii="Arial" w:cs="Arial" w:eastAsia="Arial" w:hAnsi="Arial"/>
          <w:sz w:val="17"/>
          <w:szCs w:val="17"/>
          <w:color w:val="auto"/>
        </w:rPr>
      </w:pPr>
      <w:r>
        <w:rPr>
          <w:rFonts w:ascii="Arial" w:cs="Arial" w:eastAsia="Arial" w:hAnsi="Arial"/>
          <w:sz w:val="19"/>
          <w:szCs w:val="19"/>
          <w:u w:val="single" w:color="auto"/>
          <w:color w:val="auto"/>
        </w:rPr>
        <w:t>Effect of the Amendment</w:t>
      </w:r>
      <w:r>
        <w:rPr>
          <w:rFonts w:ascii="Arial" w:cs="Arial" w:eastAsia="Arial" w:hAnsi="Arial"/>
          <w:sz w:val="19"/>
          <w:szCs w:val="19"/>
          <w:color w:val="auto"/>
        </w:rPr>
        <w:t>. Except as expressly set forth herein, this Amendment shall not by implication or otherwise limit, impair, constitute a waiver of, or otherwise affect the rights and remedies of the Lenders, the Administrative Agent, the Swing Line Banks or the Lenders under the Credit Agreement or any other Loan Document, and shall not alter, modify, amend or in any way affect any of the terms, conditions, obligations, covenants or agreements contained in the Credit Agreement or any other Loan Document, all of which, as amended, amended and restated, supplemented or otherwise modified hereby, are ratified and affirmed in all respects and shall continue in full force and effect. Upon the effectiveness of this Amendment, each reference in the Credit Agreement and in any exhibits attached thereto to “this Agreement”, “hereunder”, “hereof”, “herein” or words of similar import shall mean and be a reference to the Credit Agreement after giving effect to this Amendment.</w:t>
      </w:r>
    </w:p>
    <w:p>
      <w:pPr>
        <w:spacing w:after="0" w:line="6" w:lineRule="exact"/>
        <w:rPr>
          <w:rFonts w:ascii="Arial" w:cs="Arial" w:eastAsia="Arial" w:hAnsi="Arial"/>
          <w:sz w:val="17"/>
          <w:szCs w:val="17"/>
          <w:color w:val="auto"/>
        </w:rPr>
      </w:pPr>
    </w:p>
    <w:p>
      <w:pPr>
        <w:jc w:val="both"/>
        <w:ind w:firstLine="1305"/>
        <w:spacing w:after="0" w:line="273" w:lineRule="auto"/>
        <w:tabs>
          <w:tab w:leader="none" w:pos="2080" w:val="left"/>
        </w:tabs>
        <w:numPr>
          <w:ilvl w:val="0"/>
          <w:numId w:val="42"/>
        </w:numPr>
        <w:rPr>
          <w:rFonts w:ascii="Arial" w:cs="Arial" w:eastAsia="Arial" w:hAnsi="Arial"/>
          <w:sz w:val="18"/>
          <w:szCs w:val="18"/>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xml:space="preserve">. The provisions of </w:t>
      </w:r>
      <w:r>
        <w:rPr>
          <w:rFonts w:ascii="Arial" w:cs="Arial" w:eastAsia="Arial" w:hAnsi="Arial"/>
          <w:sz w:val="20"/>
          <w:szCs w:val="20"/>
          <w:u w:val="single" w:color="auto"/>
          <w:color w:val="auto"/>
        </w:rPr>
        <w:t>Sections 9.02</w:t>
      </w:r>
      <w:r>
        <w:rPr>
          <w:rFonts w:ascii="Arial" w:cs="Arial" w:eastAsia="Arial" w:hAnsi="Arial"/>
          <w:sz w:val="20"/>
          <w:szCs w:val="20"/>
          <w:color w:val="auto"/>
        </w:rPr>
        <w:t xml:space="preserve"> (Notices, Etc.); </w:t>
      </w:r>
      <w:r>
        <w:rPr>
          <w:rFonts w:ascii="Arial" w:cs="Arial" w:eastAsia="Arial" w:hAnsi="Arial"/>
          <w:sz w:val="20"/>
          <w:szCs w:val="20"/>
          <w:u w:val="single" w:color="auto"/>
          <w:color w:val="auto"/>
        </w:rPr>
        <w:t>9.03</w:t>
      </w:r>
      <w:r>
        <w:rPr>
          <w:rFonts w:ascii="Arial" w:cs="Arial" w:eastAsia="Arial" w:hAnsi="Arial"/>
          <w:sz w:val="20"/>
          <w:szCs w:val="20"/>
          <w:color w:val="auto"/>
        </w:rPr>
        <w:t xml:space="preserve"> (No Waiver; Remedies); </w:t>
      </w:r>
      <w:r>
        <w:rPr>
          <w:rFonts w:ascii="Arial" w:cs="Arial" w:eastAsia="Arial" w:hAnsi="Arial"/>
          <w:sz w:val="20"/>
          <w:szCs w:val="20"/>
          <w:u w:val="single" w:color="auto"/>
          <w:color w:val="auto"/>
        </w:rPr>
        <w:t>9.04</w:t>
      </w:r>
      <w:r>
        <w:rPr>
          <w:rFonts w:ascii="Arial" w:cs="Arial" w:eastAsia="Arial" w:hAnsi="Arial"/>
          <w:sz w:val="20"/>
          <w:szCs w:val="20"/>
          <w:color w:val="auto"/>
        </w:rPr>
        <w:t xml:space="preserve"> (Costs and Expenses) (except clauses (c) and (d) thereof); </w:t>
      </w:r>
      <w:r>
        <w:rPr>
          <w:rFonts w:ascii="Arial" w:cs="Arial" w:eastAsia="Arial" w:hAnsi="Arial"/>
          <w:sz w:val="20"/>
          <w:szCs w:val="20"/>
          <w:u w:val="single" w:color="auto"/>
          <w:color w:val="auto"/>
        </w:rPr>
        <w:t>9.08</w:t>
      </w:r>
      <w:r>
        <w:rPr>
          <w:rFonts w:ascii="Arial" w:cs="Arial" w:eastAsia="Arial" w:hAnsi="Arial"/>
          <w:sz w:val="20"/>
          <w:szCs w:val="20"/>
          <w:color w:val="auto"/>
        </w:rPr>
        <w:t xml:space="preserve"> (Confidentiality); </w:t>
      </w:r>
      <w:r>
        <w:rPr>
          <w:rFonts w:ascii="Arial" w:cs="Arial" w:eastAsia="Arial" w:hAnsi="Arial"/>
          <w:sz w:val="20"/>
          <w:szCs w:val="20"/>
          <w:u w:val="single" w:color="auto"/>
          <w:color w:val="auto"/>
        </w:rPr>
        <w:t>9.10</w:t>
      </w:r>
      <w:r>
        <w:rPr>
          <w:rFonts w:ascii="Arial" w:cs="Arial" w:eastAsia="Arial" w:hAnsi="Arial"/>
          <w:sz w:val="20"/>
          <w:szCs w:val="20"/>
          <w:color w:val="auto"/>
        </w:rPr>
        <w:t xml:space="preserve"> (Governing Law; Jurisdiction; Etc.); </w:t>
      </w:r>
      <w:r>
        <w:rPr>
          <w:rFonts w:ascii="Arial" w:cs="Arial" w:eastAsia="Arial" w:hAnsi="Arial"/>
          <w:sz w:val="20"/>
          <w:szCs w:val="20"/>
          <w:u w:val="single" w:color="auto"/>
          <w:color w:val="auto"/>
        </w:rPr>
        <w:t>9.11</w:t>
      </w:r>
      <w:r>
        <w:rPr>
          <w:rFonts w:ascii="Arial" w:cs="Arial" w:eastAsia="Arial" w:hAnsi="Arial"/>
          <w:sz w:val="20"/>
          <w:szCs w:val="20"/>
          <w:color w:val="auto"/>
        </w:rPr>
        <w:t xml:space="preserve"> (Execution in Counterparts); </w:t>
      </w:r>
      <w:r>
        <w:rPr>
          <w:rFonts w:ascii="Arial" w:cs="Arial" w:eastAsia="Arial" w:hAnsi="Arial"/>
          <w:sz w:val="20"/>
          <w:szCs w:val="20"/>
          <w:u w:val="single" w:color="auto"/>
          <w:color w:val="auto"/>
        </w:rPr>
        <w:t>9.14</w:t>
      </w:r>
      <w:r>
        <w:rPr>
          <w:rFonts w:ascii="Arial" w:cs="Arial" w:eastAsia="Arial" w:hAnsi="Arial"/>
          <w:sz w:val="20"/>
          <w:szCs w:val="20"/>
          <w:color w:val="auto"/>
        </w:rPr>
        <w:t xml:space="preserve"> (Acknowledgement and Consent to Bail-In of EEA Financial Institutions); and </w:t>
      </w:r>
      <w:r>
        <w:rPr>
          <w:rFonts w:ascii="Arial" w:cs="Arial" w:eastAsia="Arial" w:hAnsi="Arial"/>
          <w:sz w:val="20"/>
          <w:szCs w:val="20"/>
          <w:u w:val="single" w:color="auto"/>
          <w:color w:val="auto"/>
        </w:rPr>
        <w:t>9.19</w:t>
      </w:r>
      <w:r>
        <w:rPr>
          <w:rFonts w:ascii="Arial" w:cs="Arial" w:eastAsia="Arial" w:hAnsi="Arial"/>
          <w:sz w:val="20"/>
          <w:szCs w:val="20"/>
          <w:color w:val="auto"/>
        </w:rPr>
        <w:t xml:space="preserve"> (Waiver of Jury Trial) of the Credit Agreement shall apply with like effect to this Amendment. This Amendment shall be a “Loan Document” for all purposes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proper and duly authorized officers as of the day and year first above written.</w:t>
      </w:r>
    </w:p>
    <w:p>
      <w:pPr>
        <w:spacing w:after="0" w:line="33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INTERNATIONAL FLAVORS &amp; FRAGRANCES INC.,</w:t>
      </w:r>
    </w:p>
    <w:p>
      <w:pPr>
        <w:spacing w:after="0" w:line="54"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Taylor _________________________</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John Taylor</w:t>
      </w:r>
    </w:p>
    <w:p>
      <w:pPr>
        <w:ind w:left="5580"/>
        <w:spacing w:after="0"/>
        <w:rPr>
          <w:sz w:val="20"/>
          <w:szCs w:val="20"/>
          <w:color w:val="auto"/>
        </w:rPr>
      </w:pPr>
      <w:r>
        <w:rPr>
          <w:rFonts w:ascii="Arial" w:cs="Arial" w:eastAsia="Arial" w:hAnsi="Arial"/>
          <w:sz w:val="20"/>
          <w:szCs w:val="20"/>
          <w:color w:val="auto"/>
        </w:rPr>
        <w:t>Title: Treasurer</w:t>
      </w:r>
    </w:p>
    <w:p>
      <w:pPr>
        <w:spacing w:after="0" w:line="38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INTERNATIONAL FLAVORS &amp; FRAGRANCES (NEDERLAND)</w:t>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HOLDING B.V.,</w:t>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Jeroen Henricus Maria van Noorden_____ _</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Jeroen Henricus Maria van Noorden</w:t>
      </w:r>
    </w:p>
    <w:p>
      <w:pPr>
        <w:ind w:left="558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11420"/>
          </w:cols>
          <w:pgMar w:left="240" w:top="595" w:right="239" w:bottom="0" w:gutter="0" w:footer="0" w:header="0"/>
        </w:sectPr>
      </w:pPr>
    </w:p>
    <w:p>
      <w:pPr>
        <w:spacing w:after="0" w:line="389" w:lineRule="exact"/>
        <w:rPr>
          <w:sz w:val="20"/>
          <w:szCs w:val="20"/>
          <w:color w:val="auto"/>
        </w:rPr>
      </w:pPr>
    </w:p>
    <w:p>
      <w:pPr>
        <w:ind w:left="5220"/>
        <w:spacing w:after="0"/>
        <w:rPr>
          <w:sz w:val="20"/>
          <w:szCs w:val="20"/>
          <w:color w:val="auto"/>
        </w:rPr>
      </w:pPr>
      <w:r>
        <w:rPr>
          <w:rFonts w:ascii="Arial" w:cs="Arial" w:eastAsia="Arial" w:hAnsi="Arial"/>
          <w:sz w:val="19"/>
          <w:szCs w:val="19"/>
          <w:color w:val="auto"/>
        </w:rPr>
        <w:t>INTERNATIONAL FLAVORS &amp; FRAGRANCES I.F.F.</w:t>
      </w:r>
    </w:p>
    <w:p>
      <w:pPr>
        <w:sectPr>
          <w:pgSz w:w="11900" w:h="16838" w:orient="portrait"/>
          <w:cols w:equalWidth="0" w:num="1">
            <w:col w:w="11420"/>
          </w:cols>
          <w:pgMar w:left="240" w:top="595" w:right="239" w:bottom="0" w:gutter="0" w:footer="0" w:header="0"/>
          <w:type w:val="continuous"/>
        </w:sectPr>
      </w:pPr>
    </w:p>
    <w:bookmarkStart w:id="55" w:name="page56"/>
    <w:bookmarkEnd w:id="55"/>
    <w:p>
      <w:pPr>
        <w:ind w:left="4020"/>
        <w:spacing w:after="0"/>
        <w:rPr>
          <w:sz w:val="20"/>
          <w:szCs w:val="20"/>
          <w:color w:val="auto"/>
        </w:rPr>
      </w:pPr>
      <w:r>
        <w:rPr>
          <w:rFonts w:ascii="Arial" w:cs="Arial" w:eastAsia="Arial" w:hAnsi="Arial"/>
          <w:sz w:val="20"/>
          <w:szCs w:val="20"/>
          <w:color w:val="auto"/>
        </w:rPr>
        <w:t>(NEDERLAND) B.V.,</w:t>
      </w:r>
    </w:p>
    <w:p>
      <w:pPr>
        <w:spacing w:after="0" w:line="55"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Jeroen Henricus Maria van Noorden_____ _</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Name: Jeroen Henricus Maria van Noorden</w:t>
      </w:r>
    </w:p>
    <w:p>
      <w:pPr>
        <w:ind w:left="4380"/>
        <w:spacing w:after="0"/>
        <w:rPr>
          <w:sz w:val="20"/>
          <w:szCs w:val="20"/>
          <w:color w:val="auto"/>
        </w:rPr>
      </w:pPr>
      <w:r>
        <w:rPr>
          <w:rFonts w:ascii="Arial" w:cs="Arial" w:eastAsia="Arial" w:hAnsi="Arial"/>
          <w:sz w:val="20"/>
          <w:szCs w:val="20"/>
          <w:color w:val="auto"/>
        </w:rPr>
        <w:t>Title: Managing Director</w:t>
      </w:r>
    </w:p>
    <w:p>
      <w:pPr>
        <w:spacing w:after="0" w:line="389" w:lineRule="exact"/>
        <w:rPr>
          <w:sz w:val="20"/>
          <w:szCs w:val="20"/>
          <w:color w:val="auto"/>
        </w:rPr>
      </w:pPr>
    </w:p>
    <w:p>
      <w:pPr>
        <w:ind w:left="4020"/>
        <w:spacing w:after="0" w:line="260" w:lineRule="auto"/>
        <w:rPr>
          <w:sz w:val="20"/>
          <w:szCs w:val="20"/>
          <w:color w:val="auto"/>
        </w:rPr>
      </w:pPr>
      <w:r>
        <w:rPr>
          <w:rFonts w:ascii="Arial" w:cs="Arial" w:eastAsia="Arial" w:hAnsi="Arial"/>
          <w:sz w:val="20"/>
          <w:szCs w:val="20"/>
          <w:color w:val="auto"/>
        </w:rPr>
        <w:t>INTERNATIONAL FLAVORS &amp; FRAGRANCES (GREATER ASIA) PTE. LTD.,</w:t>
      </w:r>
    </w:p>
    <w:p>
      <w:pPr>
        <w:spacing w:after="0" w:line="15"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Chandy C. Thambi _____ _</w:t>
      </w:r>
    </w:p>
    <w:p>
      <w:pPr>
        <w:spacing w:after="0" w:line="15"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Name: Chandy C. Thambi</w:t>
      </w:r>
    </w:p>
    <w:p>
      <w:pPr>
        <w:ind w:left="438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100"/>
          </w:cols>
          <w:pgMar w:left="1440" w:top="122" w:right="1359" w:bottom="1440" w:gutter="0" w:footer="0" w:header="0"/>
        </w:sectPr>
      </w:pPr>
    </w:p>
    <w:bookmarkStart w:id="56" w:name="page57"/>
    <w:bookmarkEnd w:id="56"/>
    <w:p>
      <w:pPr>
        <w:ind w:left="4020"/>
        <w:spacing w:after="0"/>
        <w:rPr>
          <w:sz w:val="20"/>
          <w:szCs w:val="20"/>
          <w:color w:val="auto"/>
        </w:rPr>
      </w:pPr>
      <w:r>
        <w:rPr>
          <w:rFonts w:ascii="Arial" w:cs="Arial" w:eastAsia="Arial" w:hAnsi="Arial"/>
          <w:sz w:val="20"/>
          <w:szCs w:val="20"/>
          <w:color w:val="auto"/>
        </w:rPr>
        <w:t>CITIBANK, N.A.,</w:t>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9"/>
          <w:szCs w:val="19"/>
          <w:color w:val="auto"/>
        </w:rPr>
        <w:t>as Agent, a Lender and a Swing Line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Vondriska ________________</w:t>
      </w:r>
    </w:p>
    <w:p>
      <w:pPr>
        <w:spacing w:after="0" w:line="38"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Name: Michael Vondriska</w:t>
      </w:r>
    </w:p>
    <w:p>
      <w:pPr>
        <w:ind w:left="43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CITIBANK, N.A., LONDON BRANCH</w:t>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as Tranche B Swing Line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Caryn Bell______ ________________</w:t>
      </w:r>
    </w:p>
    <w:p>
      <w:pPr>
        <w:spacing w:after="0" w:line="38"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Name: Caryn Bell</w:t>
      </w:r>
    </w:p>
    <w:p>
      <w:pPr>
        <w:ind w:left="438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744" w:right="1440" w:bottom="1440" w:gutter="0" w:footer="0" w:header="0"/>
        </w:sectPr>
      </w:pPr>
    </w:p>
    <w:bookmarkStart w:id="57" w:name="page58"/>
    <w:bookmarkEnd w:id="57"/>
    <w:p>
      <w:pPr>
        <w:ind w:left="4620"/>
        <w:spacing w:after="0"/>
        <w:rPr>
          <w:sz w:val="20"/>
          <w:szCs w:val="20"/>
          <w:color w:val="auto"/>
        </w:rPr>
      </w:pPr>
      <w:r>
        <w:rPr>
          <w:rFonts w:ascii="Arial" w:cs="Arial" w:eastAsia="Arial" w:hAnsi="Arial"/>
          <w:sz w:val="20"/>
          <w:szCs w:val="20"/>
          <w:color w:val="auto"/>
        </w:rPr>
        <w:t>BNP Paribas,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Pamela J. Fitton________________</w:t>
      </w:r>
    </w:p>
    <w:p>
      <w:pPr>
        <w:spacing w:after="0" w:line="6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Pamela J. Fitton</w:t>
      </w:r>
    </w:p>
    <w:p>
      <w:pPr>
        <w:ind w:left="4960"/>
        <w:spacing w:after="0"/>
        <w:rPr>
          <w:sz w:val="20"/>
          <w:szCs w:val="20"/>
          <w:color w:val="auto"/>
        </w:rPr>
      </w:pPr>
      <w:r>
        <w:rPr>
          <w:rFonts w:ascii="Arial" w:cs="Arial" w:eastAsia="Arial" w:hAnsi="Arial"/>
          <w:sz w:val="20"/>
          <w:szCs w:val="20"/>
          <w:color w:val="auto"/>
        </w:rPr>
        <w:t>Title: Managing Director</w:t>
      </w:r>
    </w:p>
    <w:p>
      <w:pPr>
        <w:spacing w:after="0" w:line="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/s/ Richard Pace__________________</w:t>
      </w:r>
    </w:p>
    <w:p>
      <w:pPr>
        <w:spacing w:after="0" w:line="3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Richard Pace</w:t>
      </w:r>
    </w:p>
    <w:p>
      <w:pPr>
        <w:ind w:left="496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744" w:right="1440" w:bottom="1440" w:gutter="0" w:footer="0" w:header="0"/>
        </w:sectPr>
      </w:pPr>
    </w:p>
    <w:bookmarkStart w:id="58" w:name="page59"/>
    <w:bookmarkEnd w:id="58"/>
    <w:p>
      <w:pPr>
        <w:ind w:left="4620"/>
        <w:spacing w:after="0"/>
        <w:rPr>
          <w:sz w:val="20"/>
          <w:szCs w:val="20"/>
          <w:color w:val="auto"/>
        </w:rPr>
      </w:pPr>
      <w:r>
        <w:rPr>
          <w:rFonts w:ascii="Arial" w:cs="Arial" w:eastAsia="Arial" w:hAnsi="Arial"/>
          <w:sz w:val="16"/>
          <w:szCs w:val="16"/>
          <w:color w:val="auto"/>
        </w:rPr>
        <w:t>BNP Paribas Fortis S.A. / N.V.,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Hans Maas____________________</w:t>
      </w:r>
    </w:p>
    <w:p>
      <w:pPr>
        <w:spacing w:after="0" w:line="6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Hans Maas</w:t>
      </w:r>
    </w:p>
    <w:p>
      <w:pPr>
        <w:ind w:left="496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9019"/>
          </w:cols>
          <w:pgMar w:left="1440" w:top="744" w:right="1440" w:bottom="1440" w:gutter="0" w:footer="0" w:header="0"/>
        </w:sectPr>
      </w:pPr>
    </w:p>
    <w:bookmarkStart w:id="59" w:name="page60"/>
    <w:bookmarkEnd w:id="59"/>
    <w:p>
      <w:pPr>
        <w:ind w:left="4620"/>
        <w:spacing w:after="0"/>
        <w:rPr>
          <w:sz w:val="20"/>
          <w:szCs w:val="20"/>
          <w:color w:val="auto"/>
        </w:rPr>
      </w:pPr>
      <w:r>
        <w:rPr>
          <w:rFonts w:ascii="Arial" w:cs="Arial" w:eastAsia="Arial" w:hAnsi="Arial"/>
          <w:sz w:val="18"/>
          <w:szCs w:val="18"/>
          <w:color w:val="auto"/>
        </w:rPr>
        <w:t>JPMORGAN CHASE BANK,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Joon Hur________________</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Joon Hur</w:t>
      </w:r>
    </w:p>
    <w:p>
      <w:pPr>
        <w:ind w:left="496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9019"/>
          </w:cols>
          <w:pgMar w:left="1440" w:top="744" w:right="1440" w:bottom="1440" w:gutter="0" w:footer="0" w:header="0"/>
        </w:sectPr>
      </w:pPr>
    </w:p>
    <w:bookmarkStart w:id="60" w:name="page61"/>
    <w:bookmarkEnd w:id="60"/>
    <w:p>
      <w:pPr>
        <w:ind w:left="4620"/>
        <w:spacing w:after="0"/>
        <w:rPr>
          <w:sz w:val="20"/>
          <w:szCs w:val="20"/>
          <w:color w:val="auto"/>
        </w:rPr>
      </w:pPr>
      <w:r>
        <w:rPr>
          <w:rFonts w:ascii="Arial" w:cs="Arial" w:eastAsia="Arial" w:hAnsi="Arial"/>
          <w:sz w:val="18"/>
          <w:szCs w:val="18"/>
          <w:color w:val="auto"/>
        </w:rPr>
        <w:t>MORGAN STANLEY BANK, N.A.,</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Subhalakshmi Ghosh-Kohli</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8"/>
          <w:szCs w:val="18"/>
          <w:color w:val="auto"/>
        </w:rPr>
        <w:t>Subhalakshmi Ghosh-Kohli</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9"/>
          <w:szCs w:val="19"/>
          <w:color w:val="auto"/>
        </w:rPr>
        <w:t>Authorized Signatory</w:t>
      </w:r>
    </w:p>
    <w:p>
      <w:pPr>
        <w:sectPr>
          <w:pgSz w:w="11900" w:h="16838" w:orient="portrait"/>
          <w:cols w:equalWidth="0" w:num="1">
            <w:col w:w="9019"/>
          </w:cols>
          <w:pgMar w:left="1440" w:top="963" w:right="1440" w:bottom="1440" w:gutter="0" w:footer="0" w:header="0"/>
        </w:sectPr>
      </w:pPr>
    </w:p>
    <w:bookmarkStart w:id="61" w:name="page62"/>
    <w:bookmarkEnd w:id="61"/>
    <w:p>
      <w:pPr>
        <w:ind w:left="4620"/>
        <w:spacing w:after="0"/>
        <w:rPr>
          <w:sz w:val="20"/>
          <w:szCs w:val="20"/>
          <w:color w:val="auto"/>
        </w:rPr>
      </w:pPr>
      <w:r>
        <w:rPr>
          <w:rFonts w:ascii="Arial" w:cs="Arial" w:eastAsia="Arial" w:hAnsi="Arial"/>
          <w:sz w:val="20"/>
          <w:szCs w:val="20"/>
          <w:color w:val="auto"/>
        </w:rPr>
        <w:t>Citizens Bank,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Angela Reilly________________</w:t>
      </w:r>
    </w:p>
    <w:p>
      <w:pPr>
        <w:spacing w:after="0" w:line="3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Angela Reilly</w:t>
      </w:r>
    </w:p>
    <w:p>
      <w:pPr>
        <w:ind w:left="496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19"/>
          </w:cols>
          <w:pgMar w:left="1440" w:top="744" w:right="1440" w:bottom="1440" w:gutter="0" w:footer="0" w:header="0"/>
        </w:sectPr>
      </w:pPr>
    </w:p>
    <w:bookmarkStart w:id="62" w:name="page63"/>
    <w:bookmarkEnd w:id="62"/>
    <w:p>
      <w:pPr>
        <w:ind w:left="4620"/>
        <w:spacing w:after="0"/>
        <w:rPr>
          <w:sz w:val="20"/>
          <w:szCs w:val="20"/>
          <w:color w:val="auto"/>
        </w:rPr>
      </w:pPr>
      <w:r>
        <w:rPr>
          <w:rFonts w:ascii="Arial" w:cs="Arial" w:eastAsia="Arial" w:hAnsi="Arial"/>
          <w:sz w:val="18"/>
          <w:szCs w:val="18"/>
          <w:color w:val="auto"/>
        </w:rPr>
        <w:t>ING Bank N.V., Dublin Branch,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Fehily________________</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Name: Barry Fehily</w:t>
      </w:r>
    </w:p>
    <w:p>
      <w:pPr>
        <w:ind w:left="5260"/>
        <w:spacing w:after="0"/>
        <w:rPr>
          <w:sz w:val="20"/>
          <w:szCs w:val="20"/>
          <w:color w:val="auto"/>
        </w:rPr>
      </w:pPr>
      <w:r>
        <w:rPr>
          <w:rFonts w:ascii="Arial" w:cs="Arial" w:eastAsia="Arial" w:hAnsi="Arial"/>
          <w:sz w:val="20"/>
          <w:szCs w:val="20"/>
          <w:color w:val="auto"/>
        </w:rPr>
        <w:t>Title: Country Manager</w:t>
      </w:r>
    </w:p>
    <w:p>
      <w:pPr>
        <w:spacing w:after="0" w:line="38" w:lineRule="exact"/>
        <w:rPr>
          <w:sz w:val="20"/>
          <w:szCs w:val="20"/>
          <w:color w:val="auto"/>
        </w:rPr>
      </w:pPr>
    </w:p>
    <w:p>
      <w:pPr>
        <w:ind w:left="4620"/>
        <w:spacing w:after="0"/>
        <w:rPr>
          <w:sz w:val="20"/>
          <w:szCs w:val="20"/>
          <w:color w:val="auto"/>
        </w:rPr>
      </w:pPr>
      <w:r>
        <w:rPr>
          <w:rFonts w:ascii="Arial" w:cs="Arial" w:eastAsia="Arial" w:hAnsi="Arial"/>
          <w:sz w:val="19"/>
          <w:szCs w:val="19"/>
          <w:color w:val="auto"/>
        </w:rPr>
        <w:t>By: /s/ Shaun Hawley_______________</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Name: Shaun Hawley</w:t>
      </w:r>
    </w:p>
    <w:p>
      <w:pPr>
        <w:ind w:left="526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744" w:right="1440" w:bottom="1440" w:gutter="0" w:footer="0" w:header="0"/>
        </w:sectPr>
      </w:pPr>
    </w:p>
    <w:bookmarkStart w:id="63" w:name="page64"/>
    <w:bookmarkEnd w:id="63"/>
    <w:p>
      <w:pPr>
        <w:ind w:left="4620"/>
        <w:spacing w:after="0"/>
        <w:rPr>
          <w:sz w:val="20"/>
          <w:szCs w:val="20"/>
          <w:color w:val="auto"/>
        </w:rPr>
      </w:pPr>
      <w:r>
        <w:rPr>
          <w:rFonts w:ascii="Arial" w:cs="Arial" w:eastAsia="Arial" w:hAnsi="Arial"/>
          <w:sz w:val="16"/>
          <w:szCs w:val="16"/>
          <w:color w:val="auto"/>
        </w:rPr>
        <w:t>U.S.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Harry J. Brown________________</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Harry J. Brown</w:t>
      </w:r>
    </w:p>
    <w:p>
      <w:pPr>
        <w:ind w:left="49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744" w:right="1440" w:bottom="1440" w:gutter="0" w:footer="0" w:header="0"/>
        </w:sectPr>
      </w:pPr>
    </w:p>
    <w:bookmarkStart w:id="64" w:name="page65"/>
    <w:bookmarkEnd w:id="64"/>
    <w:p>
      <w:pPr>
        <w:ind w:left="4620"/>
        <w:spacing w:after="0"/>
        <w:rPr>
          <w:sz w:val="20"/>
          <w:szCs w:val="20"/>
          <w:color w:val="auto"/>
        </w:rPr>
      </w:pPr>
      <w:r>
        <w:rPr>
          <w:rFonts w:ascii="Arial" w:cs="Arial" w:eastAsia="Arial" w:hAnsi="Arial"/>
          <w:sz w:val="18"/>
          <w:szCs w:val="18"/>
          <w:color w:val="auto"/>
        </w:rPr>
        <w:t>WELLS FARGO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Denis Waltrich________________</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Denis Waltrich</w:t>
      </w:r>
    </w:p>
    <w:p>
      <w:pPr>
        <w:ind w:left="496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10040"/>
          </w:cols>
          <w:pgMar w:left="1440" w:top="744" w:right="419" w:bottom="1440" w:gutter="0" w:footer="0" w:header="0"/>
        </w:sectPr>
      </w:pPr>
    </w:p>
    <w:bookmarkStart w:id="65" w:name="page66"/>
    <w:bookmarkEnd w:id="65"/>
    <w:p>
      <w:pPr>
        <w:ind w:left="4620"/>
        <w:spacing w:after="0"/>
        <w:rPr>
          <w:sz w:val="20"/>
          <w:szCs w:val="20"/>
          <w:color w:val="auto"/>
        </w:rPr>
      </w:pPr>
      <w:r>
        <w:rPr>
          <w:rFonts w:ascii="Arial" w:cs="Arial" w:eastAsia="Arial" w:hAnsi="Arial"/>
          <w:sz w:val="18"/>
          <w:szCs w:val="18"/>
          <w:color w:val="auto"/>
        </w:rPr>
        <w:t>HSBC Bank USA, National Association as a</w:t>
      </w:r>
    </w:p>
    <w:p>
      <w:pPr>
        <w:spacing w:after="0" w:line="39"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Levins___________________</w:t>
      </w:r>
    </w:p>
    <w:p>
      <w:pPr>
        <w:spacing w:after="0" w:line="3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Robert Levins</w:t>
      </w:r>
    </w:p>
    <w:p>
      <w:pPr>
        <w:ind w:left="4960"/>
        <w:spacing w:after="0"/>
        <w:rPr>
          <w:sz w:val="20"/>
          <w:szCs w:val="20"/>
          <w:color w:val="auto"/>
        </w:rPr>
      </w:pPr>
      <w:r>
        <w:rPr>
          <w:rFonts w:ascii="Arial" w:cs="Arial" w:eastAsia="Arial" w:hAnsi="Arial"/>
          <w:sz w:val="20"/>
          <w:szCs w:val="20"/>
          <w:color w:val="auto"/>
        </w:rPr>
        <w:t>Title: Senior Portfolio Manager</w:t>
      </w:r>
    </w:p>
    <w:p>
      <w:pPr>
        <w:sectPr>
          <w:pgSz w:w="11900" w:h="16838" w:orient="portrait"/>
          <w:cols w:equalWidth="0" w:num="1">
            <w:col w:w="9019"/>
          </w:cols>
          <w:pgMar w:left="1440" w:top="744" w:right="1440" w:bottom="1440" w:gutter="0" w:footer="0" w:header="0"/>
        </w:sectPr>
      </w:pPr>
    </w:p>
    <w:bookmarkStart w:id="66" w:name="page67"/>
    <w:bookmarkEnd w:id="66"/>
    <w:p>
      <w:pPr>
        <w:ind w:left="4620"/>
        <w:spacing w:after="0"/>
        <w:rPr>
          <w:sz w:val="20"/>
          <w:szCs w:val="20"/>
          <w:color w:val="auto"/>
        </w:rPr>
      </w:pPr>
      <w:r>
        <w:rPr>
          <w:rFonts w:ascii="Arial" w:cs="Arial" w:eastAsia="Arial" w:hAnsi="Arial"/>
          <w:sz w:val="19"/>
          <w:szCs w:val="19"/>
          <w:color w:val="auto"/>
        </w:rPr>
        <w:t>Standard Chartered Bank,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Mattern________________</w:t>
      </w:r>
    </w:p>
    <w:p>
      <w:pPr>
        <w:spacing w:after="0" w:line="3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Daniel Mattern</w:t>
      </w:r>
    </w:p>
    <w:p>
      <w:pPr>
        <w:ind w:left="4960"/>
        <w:spacing w:after="0"/>
        <w:rPr>
          <w:sz w:val="20"/>
          <w:szCs w:val="20"/>
          <w:color w:val="auto"/>
        </w:rPr>
      </w:pPr>
      <w:r>
        <w:rPr>
          <w:rFonts w:ascii="Arial" w:cs="Arial" w:eastAsia="Arial" w:hAnsi="Arial"/>
          <w:sz w:val="20"/>
          <w:szCs w:val="20"/>
          <w:color w:val="auto"/>
        </w:rPr>
        <w:t>Title: Associate Director</w:t>
      </w:r>
    </w:p>
    <w:p>
      <w:pPr>
        <w:sectPr>
          <w:pgSz w:w="11900" w:h="16838" w:orient="portrait"/>
          <w:cols w:equalWidth="0" w:num="1">
            <w:col w:w="9019"/>
          </w:cols>
          <w:pgMar w:left="1440" w:top="744" w:right="1440" w:bottom="1440" w:gutter="0" w:footer="0" w:header="0"/>
        </w:sectPr>
      </w:pPr>
    </w:p>
    <w:bookmarkStart w:id="67" w:name="page68"/>
    <w:bookmarkEnd w:id="67"/>
    <w:p>
      <w:pPr>
        <w:ind w:left="4480"/>
        <w:spacing w:after="0"/>
        <w:rPr>
          <w:sz w:val="20"/>
          <w:szCs w:val="20"/>
          <w:color w:val="auto"/>
        </w:rPr>
      </w:pPr>
      <w:r>
        <w:rPr>
          <w:rFonts w:ascii="Arial" w:cs="Arial" w:eastAsia="Arial" w:hAnsi="Arial"/>
          <w:sz w:val="20"/>
          <w:szCs w:val="20"/>
          <w:color w:val="auto"/>
        </w:rPr>
        <w:t>MUFG Bank, Ltd.,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Liwei Liu________________</w:t>
      </w:r>
    </w:p>
    <w:p>
      <w:pPr>
        <w:spacing w:after="0" w:line="38"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Name: Liwei Liu</w:t>
      </w:r>
    </w:p>
    <w:p>
      <w:pPr>
        <w:ind w:left="484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744" w:right="1440" w:bottom="1440" w:gutter="0" w:footer="0" w:header="0"/>
        </w:sectPr>
      </w:pPr>
    </w:p>
    <w:bookmarkStart w:id="68" w:name="page69"/>
    <w:bookmarkEnd w:id="68"/>
    <w:p>
      <w:pPr>
        <w:ind w:left="4620"/>
        <w:spacing w:after="0"/>
        <w:rPr>
          <w:sz w:val="20"/>
          <w:szCs w:val="20"/>
          <w:color w:val="auto"/>
        </w:rPr>
      </w:pPr>
      <w:r>
        <w:rPr>
          <w:rFonts w:ascii="Arial" w:cs="Arial" w:eastAsia="Arial" w:hAnsi="Arial"/>
          <w:sz w:val="20"/>
          <w:szCs w:val="20"/>
          <w:color w:val="auto"/>
        </w:rPr>
        <w:t>CoBank, ACB,</w:t>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Patrick Sauer________________</w:t>
      </w:r>
    </w:p>
    <w:p>
      <w:pPr>
        <w:spacing w:after="0" w:line="6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Patrick Sauer</w:t>
      </w:r>
    </w:p>
    <w:p>
      <w:pPr>
        <w:ind w:left="49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744"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10.6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EXECUTION VERSION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 TO CREDIT AGREEMENT</w:t>
      </w:r>
    </w:p>
    <w:p>
      <w:pPr>
        <w:spacing w:after="0" w:line="22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This AMENDMENT NO. 1 TO CREDIT AGREEMENT, dated as of July 13, 2018 (this “</w:t>
      </w:r>
      <w:r>
        <w:rPr>
          <w:rFonts w:ascii="Arial" w:cs="Arial" w:eastAsia="Arial" w:hAnsi="Arial"/>
          <w:sz w:val="20"/>
          <w:szCs w:val="20"/>
          <w:u w:val="single" w:color="auto"/>
          <w:color w:val="auto"/>
        </w:rPr>
        <w:t>Amendment</w:t>
      </w:r>
      <w:r>
        <w:rPr>
          <w:rFonts w:ascii="Arial" w:cs="Arial" w:eastAsia="Arial" w:hAnsi="Arial"/>
          <w:sz w:val="20"/>
          <w:szCs w:val="20"/>
          <w:color w:val="auto"/>
        </w:rPr>
        <w:t>”), is entered into among INTERNATIONAL FLAVORS &amp; FRAGRANCES INC.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signatory hereto and MORGAN STANLEY SENIOR FUNDING, INC.,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WHEREAS, the Borrower, the Lenders from time to time party thereto and the Administrative Agent have entered into that certain Term Loan Credit Agreement, dated as of June 6, 2018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77"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WHEREAS, pursuant to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of the Credit Agreement, the Borrowers, the Lenders party hereto (constituting the Required Lenders) and the Administrative Agent have agreed to amend the Credit Agreement as provided for herein.</w:t>
      </w:r>
    </w:p>
    <w:p>
      <w:pPr>
        <w:spacing w:after="0" w:line="15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NOW, THEREFORE, in consideration of the mutual execution hereof and other good and valuable consideration, the parties hereto hereby agree as follows:</w:t>
      </w:r>
    </w:p>
    <w:p>
      <w:pPr>
        <w:spacing w:after="0" w:line="190" w:lineRule="exact"/>
        <w:rPr>
          <w:sz w:val="20"/>
          <w:szCs w:val="20"/>
          <w:color w:val="auto"/>
        </w:rPr>
      </w:pPr>
    </w:p>
    <w:p>
      <w:pPr>
        <w:ind w:left="2740" w:hanging="787"/>
        <w:spacing w:after="0"/>
        <w:tabs>
          <w:tab w:leader="none" w:pos="2740" w:val="left"/>
        </w:tabs>
        <w:numPr>
          <w:ilvl w:val="1"/>
          <w:numId w:val="43"/>
        </w:numPr>
        <w:rPr>
          <w:rFonts w:ascii="Arial" w:cs="Arial" w:eastAsia="Arial" w:hAnsi="Arial"/>
          <w:sz w:val="16"/>
          <w:szCs w:val="16"/>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herein and not otherwise defined herein have the meanings given in</w:t>
      </w:r>
    </w:p>
    <w:p>
      <w:pPr>
        <w:spacing w:after="0" w:line="4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the Credit Agreement.</w:t>
      </w:r>
    </w:p>
    <w:p>
      <w:pPr>
        <w:spacing w:after="0" w:line="26" w:lineRule="exact"/>
        <w:rPr>
          <w:rFonts w:ascii="Arial" w:cs="Arial" w:eastAsia="Arial" w:hAnsi="Arial"/>
          <w:sz w:val="16"/>
          <w:szCs w:val="16"/>
          <w:color w:val="auto"/>
        </w:rPr>
      </w:pPr>
    </w:p>
    <w:p>
      <w:pPr>
        <w:ind w:firstLine="1305"/>
        <w:spacing w:after="0" w:line="264" w:lineRule="auto"/>
        <w:tabs>
          <w:tab w:leader="none" w:pos="2080" w:val="left"/>
        </w:tabs>
        <w:numPr>
          <w:ilvl w:val="0"/>
          <w:numId w:val="44"/>
        </w:numPr>
        <w:rPr>
          <w:rFonts w:ascii="Arial" w:cs="Arial" w:eastAsia="Arial" w:hAnsi="Arial"/>
          <w:sz w:val="18"/>
          <w:szCs w:val="18"/>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Upon satisfaction of the conditions set forth in Section 3 hereof, Section 5.03 of the Credit Agreement is hereby amended and restated in its entirety to read as follows:</w:t>
      </w:r>
    </w:p>
    <w:p>
      <w:pPr>
        <w:spacing w:after="0" w:line="1" w:lineRule="exact"/>
        <w:rPr>
          <w:rFonts w:ascii="Arial" w:cs="Arial" w:eastAsia="Arial" w:hAnsi="Arial"/>
          <w:sz w:val="18"/>
          <w:szCs w:val="18"/>
          <w:color w:val="auto"/>
        </w:rPr>
      </w:pPr>
    </w:p>
    <w:p>
      <w:pPr>
        <w:jc w:val="both"/>
        <w:ind w:left="1300"/>
        <w:spacing w:after="0" w:line="269" w:lineRule="auto"/>
        <w:rPr>
          <w:rFonts w:ascii="Arial" w:cs="Arial" w:eastAsia="Arial" w:hAnsi="Arial"/>
          <w:sz w:val="18"/>
          <w:szCs w:val="18"/>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Financial Covenant</w:t>
      </w:r>
      <w:r>
        <w:rPr>
          <w:rFonts w:ascii="Arial" w:cs="Arial" w:eastAsia="Arial" w:hAnsi="Arial"/>
          <w:sz w:val="18"/>
          <w:szCs w:val="18"/>
          <w:color w:val="auto"/>
        </w:rPr>
        <w:t xml:space="preserve">. So long as any Advance shall remain unpaid, from and after the Closing Date the Company shall maintain a Leverage Ratio as of the end of any Relevant Period of not more than 4.50 to 1.00, which limit shall step down to (i) 4.25 to 1.00 as of the end of the third full fiscal quarter ended after the Closing Date, (ii) 4.00 to 1.00 as of the end of the fifth full fiscal quarter ended after the Closing Date and (iii) 3.50 to 1.00 as of the end of the ninth full fiscal quarter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Specified Equity Offering shall not have been consummated on or prior to the Closing Date, instead of being required to maintain a Leverage Ratio of not more than 4.50 to 1.00 as of the end of any Relevant Period ending during the period starting from the Closing Date through and including the end of the first full fiscal quarter after the Closing Date, the Company shall instead be required to maintain a Leverage Ratio of not more than 6.00 to 1.00 as of the end of any Relevant Period ending during the period starting from the Closing Date through and including the end of the first full fiscal quarter after the Closing Date and thereafter shall step down to 4.50 to 1.00 and shall further step down as set forth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commencing on and after the end of the eighth full fiscal quarter after the Closing Date, if the Company consummates an acquisition of all or substantially all of the assets of a Person, or of any business or division of a Person, for which it paid at least $500,000,000 in consideration (a “</w:t>
      </w:r>
      <w:r>
        <w:rPr>
          <w:rFonts w:ascii="Arial" w:cs="Arial" w:eastAsia="Arial" w:hAnsi="Arial"/>
          <w:sz w:val="18"/>
          <w:szCs w:val="18"/>
          <w:b w:val="1"/>
          <w:bCs w:val="1"/>
          <w:color w:val="auto"/>
        </w:rPr>
        <w:t>Qualifying Acquisition</w:t>
      </w:r>
      <w:r>
        <w:rPr>
          <w:rFonts w:ascii="Arial" w:cs="Arial" w:eastAsia="Arial" w:hAnsi="Arial"/>
          <w:sz w:val="18"/>
          <w:szCs w:val="18"/>
          <w:color w:val="auto"/>
        </w:rPr>
        <w:t>”), the maximum Leverage Ratio shall step up to no greater than 3.75 to 1.00, which shall be reduced to 3.50 to 1.00 as of the end of the third full fiscal quarter after such Qualifying Acquisition.</w:t>
      </w:r>
    </w:p>
    <w:p>
      <w:pPr>
        <w:spacing w:after="0" w:line="186" w:lineRule="exact"/>
        <w:rPr>
          <w:rFonts w:ascii="Arial" w:cs="Arial" w:eastAsia="Arial" w:hAnsi="Arial"/>
          <w:sz w:val="18"/>
          <w:szCs w:val="18"/>
          <w:color w:val="auto"/>
        </w:rPr>
      </w:pPr>
    </w:p>
    <w:p>
      <w:pPr>
        <w:ind w:left="660" w:firstLine="1293"/>
        <w:spacing w:after="0" w:line="267" w:lineRule="auto"/>
        <w:tabs>
          <w:tab w:leader="none" w:pos="2740" w:val="left"/>
        </w:tabs>
        <w:numPr>
          <w:ilvl w:val="1"/>
          <w:numId w:val="44"/>
        </w:numPr>
        <w:rPr>
          <w:rFonts w:ascii="Arial" w:cs="Arial" w:eastAsia="Arial" w:hAnsi="Arial"/>
          <w:sz w:val="18"/>
          <w:szCs w:val="18"/>
          <w:color w:val="auto"/>
        </w:rPr>
      </w:pPr>
      <w:r>
        <w:rPr>
          <w:rFonts w:ascii="Arial" w:cs="Arial" w:eastAsia="Arial" w:hAnsi="Arial"/>
          <w:sz w:val="20"/>
          <w:szCs w:val="20"/>
          <w:u w:val="single" w:color="auto"/>
          <w:color w:val="auto"/>
        </w:rPr>
        <w:t>Effectiveness</w:t>
      </w:r>
      <w:r>
        <w:rPr>
          <w:rFonts w:ascii="Arial" w:cs="Arial" w:eastAsia="Arial" w:hAnsi="Arial"/>
          <w:sz w:val="20"/>
          <w:szCs w:val="20"/>
          <w:color w:val="auto"/>
        </w:rPr>
        <w:t>. This Amendment will become effective upon the date on which the following conditions precedent are first satisfied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w:t>
      </w:r>
    </w:p>
    <w:p>
      <w:pPr>
        <w:spacing w:after="0" w:line="1" w:lineRule="exact"/>
        <w:rPr>
          <w:rFonts w:ascii="Arial" w:cs="Arial" w:eastAsia="Arial" w:hAnsi="Arial"/>
          <w:sz w:val="18"/>
          <w:szCs w:val="18"/>
          <w:color w:val="auto"/>
        </w:rPr>
      </w:pPr>
    </w:p>
    <w:p>
      <w:pPr>
        <w:jc w:val="both"/>
        <w:ind w:left="660" w:firstLine="1941"/>
        <w:spacing w:after="0" w:line="267" w:lineRule="auto"/>
        <w:tabs>
          <w:tab w:leader="none" w:pos="3453" w:val="left"/>
        </w:tabs>
        <w:numPr>
          <w:ilvl w:val="2"/>
          <w:numId w:val="44"/>
        </w:numPr>
        <w:rPr>
          <w:rFonts w:ascii="Arial" w:cs="Arial" w:eastAsia="Arial" w:hAnsi="Arial"/>
          <w:sz w:val="18"/>
          <w:szCs w:val="18"/>
          <w:color w:val="auto"/>
        </w:rPr>
      </w:pPr>
      <w:r>
        <w:rPr>
          <w:rFonts w:ascii="Arial" w:cs="Arial" w:eastAsia="Arial" w:hAnsi="Arial"/>
          <w:sz w:val="20"/>
          <w:szCs w:val="20"/>
          <w:color w:val="auto"/>
        </w:rPr>
        <w:t>The Administrative Agent shall have received from the Borrower and from the Required Lenders an executed counterpart of this Amendment (or photocopies thereof sent by fax, .pdf or other electronic means, each of which shall be enforceable with the same effect as a signed original).</w:t>
      </w:r>
    </w:p>
    <w:p>
      <w:pPr>
        <w:spacing w:after="0" w:line="2" w:lineRule="exact"/>
        <w:rPr>
          <w:sz w:val="20"/>
          <w:szCs w:val="20"/>
          <w:color w:val="auto"/>
        </w:rPr>
      </w:pPr>
    </w:p>
    <w:p>
      <w:pPr>
        <w:jc w:val="both"/>
        <w:ind w:firstLine="1953"/>
        <w:spacing w:after="0" w:line="278" w:lineRule="auto"/>
        <w:tabs>
          <w:tab w:leader="none" w:pos="2803" w:val="left"/>
        </w:tabs>
        <w:numPr>
          <w:ilvl w:val="0"/>
          <w:numId w:val="45"/>
        </w:numPr>
        <w:rPr>
          <w:rFonts w:ascii="Arial" w:cs="Arial" w:eastAsia="Arial" w:hAnsi="Arial"/>
          <w:sz w:val="18"/>
          <w:szCs w:val="18"/>
          <w:color w:val="auto"/>
        </w:rPr>
      </w:pPr>
      <w:r>
        <w:rPr>
          <w:rFonts w:ascii="Arial" w:cs="Arial" w:eastAsia="Arial" w:hAnsi="Arial"/>
          <w:sz w:val="20"/>
          <w:szCs w:val="20"/>
          <w:color w:val="auto"/>
        </w:rPr>
        <w:t>The Administrative Agent shall have received a certificate, dated the Amendment Effective Date and signed by a duly authorized officer of the Company, confirming (i) the representations and warranties set forth in this Amendment shall be true and correct in all material respects on and as of the Amendment Effective</w:t>
      </w:r>
    </w:p>
    <w:p>
      <w:pPr>
        <w:sectPr>
          <w:pgSz w:w="11900" w:h="16838" w:orient="portrait"/>
          <w:cols w:equalWidth="0" w:num="1">
            <w:col w:w="11420"/>
          </w:cols>
          <w:pgMar w:left="240" w:top="585" w:right="239" w:bottom="1440" w:gutter="0" w:footer="0" w:header="0"/>
        </w:sectPr>
      </w:pPr>
    </w:p>
    <w:bookmarkStart w:id="70" w:name="page71"/>
    <w:bookmarkEnd w:id="70"/>
    <w:p>
      <w:pPr>
        <w:ind w:right="20"/>
        <w:spacing w:after="0" w:line="267" w:lineRule="auto"/>
        <w:rPr>
          <w:sz w:val="20"/>
          <w:szCs w:val="20"/>
          <w:color w:val="auto"/>
        </w:rPr>
      </w:pPr>
      <w:r>
        <w:rPr>
          <w:rFonts w:ascii="Arial" w:cs="Arial" w:eastAsia="Arial" w:hAnsi="Arial"/>
          <w:sz w:val="20"/>
          <w:szCs w:val="20"/>
          <w:color w:val="auto"/>
        </w:rPr>
        <w:t>Date and (ii) no event shall have occurred and be continuing, or would result from this Amendment or the transactions contemplated hereby, that would, as of the Amendment Effective Date, constitute a Default.</w:t>
      </w:r>
    </w:p>
    <w:p>
      <w:pPr>
        <w:spacing w:after="0" w:line="1" w:lineRule="exact"/>
        <w:rPr>
          <w:sz w:val="20"/>
          <w:szCs w:val="20"/>
          <w:color w:val="auto"/>
        </w:rPr>
      </w:pPr>
    </w:p>
    <w:p>
      <w:pPr>
        <w:jc w:val="both"/>
        <w:ind w:firstLine="1953"/>
        <w:spacing w:after="0" w:line="255" w:lineRule="exact"/>
        <w:tabs>
          <w:tab w:leader="none" w:pos="2793" w:val="left"/>
        </w:tabs>
        <w:numPr>
          <w:ilvl w:val="0"/>
          <w:numId w:val="46"/>
        </w:numPr>
        <w:rPr>
          <w:rFonts w:ascii="Arial" w:cs="Arial" w:eastAsia="Arial" w:hAnsi="Arial"/>
          <w:sz w:val="16"/>
          <w:szCs w:val="16"/>
          <w:color w:val="auto"/>
        </w:rPr>
      </w:pPr>
      <w:r>
        <w:rPr>
          <w:rFonts w:ascii="Arial" w:cs="Arial" w:eastAsia="Arial" w:hAnsi="Arial"/>
          <w:sz w:val="18"/>
          <w:szCs w:val="18"/>
          <w:color w:val="auto"/>
        </w:rPr>
        <w:t>The Administrative Agent shall have received all expenses due and payable on or prior to the Amendment Effective Date, including, to the extent invoiced two (2) Business Days prior to the Amendment Effective Date, reimbursement or payment of all out-of</w:t>
      </w:r>
      <w:r>
        <w:rPr>
          <w:rFonts w:ascii="MS PGothic" w:cs="MS PGothic" w:eastAsia="MS PGothic" w:hAnsi="MS PGothic"/>
          <w:sz w:val="18"/>
          <w:szCs w:val="18"/>
          <w:color w:val="auto"/>
        </w:rPr>
        <w:t>‑</w:t>
      </w:r>
      <w:r>
        <w:rPr>
          <w:rFonts w:ascii="Arial" w:cs="Arial" w:eastAsia="Arial" w:hAnsi="Arial"/>
          <w:sz w:val="18"/>
          <w:szCs w:val="18"/>
          <w:color w:val="auto"/>
        </w:rPr>
        <w:t>pocket expenses required to be reimbursed or paid by the Borrowers under the Credit Agreement.</w:t>
      </w:r>
    </w:p>
    <w:p>
      <w:pPr>
        <w:spacing w:after="0" w:line="7" w:lineRule="exact"/>
        <w:rPr>
          <w:sz w:val="20"/>
          <w:szCs w:val="20"/>
          <w:color w:val="auto"/>
        </w:rPr>
      </w:pPr>
    </w:p>
    <w:p>
      <w:pPr>
        <w:jc w:val="both"/>
        <w:ind w:left="660" w:firstLine="1293"/>
        <w:spacing w:after="0" w:line="267" w:lineRule="auto"/>
        <w:tabs>
          <w:tab w:leader="none" w:pos="2740" w:val="left"/>
        </w:tabs>
        <w:numPr>
          <w:ilvl w:val="1"/>
          <w:numId w:val="47"/>
        </w:numPr>
        <w:rPr>
          <w:rFonts w:ascii="Arial" w:cs="Arial" w:eastAsia="Arial" w:hAnsi="Arial"/>
          <w:sz w:val="18"/>
          <w:szCs w:val="18"/>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Borrower represents and warrants, as of the date hereof, that, after giving effect to the provisions of this Amendment, (a) each of the representations and warranties made by the Borrower in Section 4.01 of the Credit Agreement is true in all material respects on and as of the date hereof as if made on and as of the date hereof, except (i) to the extent that such representations and warranties refer to an earlier date, in which case they were true in all material respects as of such earlier date or (ii) to the extent that such representations and warranties are qualified as to materiality or Material Adverse Effect, in which case such representations and warranties shall be true in all respects, and (b) no event shall have occurred and be continuing, or would result from this Amendment or the transactions contemplated hereby, that would, as of the Amendment Effective Date, constitute a Default.</w:t>
      </w:r>
    </w:p>
    <w:p>
      <w:pPr>
        <w:spacing w:after="0" w:line="5" w:lineRule="exact"/>
        <w:rPr>
          <w:rFonts w:ascii="Arial" w:cs="Arial" w:eastAsia="Arial" w:hAnsi="Arial"/>
          <w:sz w:val="18"/>
          <w:szCs w:val="18"/>
          <w:color w:val="auto"/>
        </w:rPr>
      </w:pPr>
    </w:p>
    <w:p>
      <w:pPr>
        <w:jc w:val="both"/>
        <w:ind w:firstLine="1305"/>
        <w:spacing w:after="0" w:line="267" w:lineRule="auto"/>
        <w:tabs>
          <w:tab w:leader="none" w:pos="2080" w:val="left"/>
        </w:tabs>
        <w:numPr>
          <w:ilvl w:val="0"/>
          <w:numId w:val="48"/>
        </w:numPr>
        <w:rPr>
          <w:rFonts w:ascii="Arial" w:cs="Arial" w:eastAsia="Arial" w:hAnsi="Arial"/>
          <w:sz w:val="18"/>
          <w:szCs w:val="18"/>
          <w:color w:val="auto"/>
        </w:rPr>
      </w:pPr>
      <w:r>
        <w:rPr>
          <w:rFonts w:ascii="Arial" w:cs="Arial" w:eastAsia="Arial" w:hAnsi="Arial"/>
          <w:sz w:val="20"/>
          <w:szCs w:val="20"/>
          <w:u w:val="single" w:color="auto"/>
          <w:color w:val="auto"/>
        </w:rPr>
        <w:t>Effect of the Amendment</w:t>
      </w:r>
      <w:r>
        <w:rPr>
          <w:rFonts w:ascii="Arial" w:cs="Arial" w:eastAsia="Arial" w:hAnsi="Arial"/>
          <w:sz w:val="20"/>
          <w:szCs w:val="20"/>
          <w:color w:val="auto"/>
        </w:rPr>
        <w:t>. Except as expressly set forth herein, this Amendment shall not by implication or otherwise limit, impair, constitute a waiver of, or otherwise affect the rights and remedies of the Lenders, the Administrative Agent or the Lenders under the Credit Agreement or any other Loan Document, and shall not alter, modify, amend or in any way affect any of the terms, conditions, obligations, covenants or agreements contained in the Credit Agreement or any other Loan Document, all of which, as amended, amended and restated, supplemented or otherwise modified hereby, are ratified and affirmed in all respects and shall continue in full force and effect. Upon the effectiveness of this Amendment, each reference in the Credit Agreement and in any exhibits attached thereto to “this Agreement”, “hereunder”, “hereof”, “herein” or words of similar import shall mean and be a reference to the Credit Agreement after giving effect to this Amendment.</w:t>
      </w:r>
    </w:p>
    <w:p>
      <w:pPr>
        <w:spacing w:after="0" w:line="5" w:lineRule="exact"/>
        <w:rPr>
          <w:rFonts w:ascii="Arial" w:cs="Arial" w:eastAsia="Arial" w:hAnsi="Arial"/>
          <w:sz w:val="18"/>
          <w:szCs w:val="18"/>
          <w:color w:val="auto"/>
        </w:rPr>
      </w:pPr>
    </w:p>
    <w:p>
      <w:pPr>
        <w:jc w:val="both"/>
        <w:ind w:firstLine="1305"/>
        <w:spacing w:after="0" w:line="273" w:lineRule="auto"/>
        <w:tabs>
          <w:tab w:leader="none" w:pos="2080" w:val="left"/>
        </w:tabs>
        <w:numPr>
          <w:ilvl w:val="0"/>
          <w:numId w:val="48"/>
        </w:numPr>
        <w:rPr>
          <w:rFonts w:ascii="Arial" w:cs="Arial" w:eastAsia="Arial" w:hAnsi="Arial"/>
          <w:sz w:val="18"/>
          <w:szCs w:val="18"/>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xml:space="preserve">. The provisions of </w:t>
      </w:r>
      <w:r>
        <w:rPr>
          <w:rFonts w:ascii="Arial" w:cs="Arial" w:eastAsia="Arial" w:hAnsi="Arial"/>
          <w:sz w:val="20"/>
          <w:szCs w:val="20"/>
          <w:u w:val="single" w:color="auto"/>
          <w:color w:val="auto"/>
        </w:rPr>
        <w:t>Sections 9.02</w:t>
      </w:r>
      <w:r>
        <w:rPr>
          <w:rFonts w:ascii="Arial" w:cs="Arial" w:eastAsia="Arial" w:hAnsi="Arial"/>
          <w:sz w:val="20"/>
          <w:szCs w:val="20"/>
          <w:color w:val="auto"/>
        </w:rPr>
        <w:t xml:space="preserve"> (Notices, Etc.); </w:t>
      </w:r>
      <w:r>
        <w:rPr>
          <w:rFonts w:ascii="Arial" w:cs="Arial" w:eastAsia="Arial" w:hAnsi="Arial"/>
          <w:sz w:val="20"/>
          <w:szCs w:val="20"/>
          <w:u w:val="single" w:color="auto"/>
          <w:color w:val="auto"/>
        </w:rPr>
        <w:t>9.03</w:t>
      </w:r>
      <w:r>
        <w:rPr>
          <w:rFonts w:ascii="Arial" w:cs="Arial" w:eastAsia="Arial" w:hAnsi="Arial"/>
          <w:sz w:val="20"/>
          <w:szCs w:val="20"/>
          <w:color w:val="auto"/>
        </w:rPr>
        <w:t xml:space="preserve"> (No Waiver; Remedies); </w:t>
      </w:r>
      <w:r>
        <w:rPr>
          <w:rFonts w:ascii="Arial" w:cs="Arial" w:eastAsia="Arial" w:hAnsi="Arial"/>
          <w:sz w:val="20"/>
          <w:szCs w:val="20"/>
          <w:u w:val="single" w:color="auto"/>
          <w:color w:val="auto"/>
        </w:rPr>
        <w:t>9.04</w:t>
      </w:r>
      <w:r>
        <w:rPr>
          <w:rFonts w:ascii="Arial" w:cs="Arial" w:eastAsia="Arial" w:hAnsi="Arial"/>
          <w:sz w:val="20"/>
          <w:szCs w:val="20"/>
          <w:color w:val="auto"/>
        </w:rPr>
        <w:t xml:space="preserve"> (Costs and Expenses) (except clauses (c) and (d) thereof); </w:t>
      </w:r>
      <w:r>
        <w:rPr>
          <w:rFonts w:ascii="Arial" w:cs="Arial" w:eastAsia="Arial" w:hAnsi="Arial"/>
          <w:sz w:val="20"/>
          <w:szCs w:val="20"/>
          <w:u w:val="single" w:color="auto"/>
          <w:color w:val="auto"/>
        </w:rPr>
        <w:t>9.08</w:t>
      </w:r>
      <w:r>
        <w:rPr>
          <w:rFonts w:ascii="Arial" w:cs="Arial" w:eastAsia="Arial" w:hAnsi="Arial"/>
          <w:sz w:val="20"/>
          <w:szCs w:val="20"/>
          <w:color w:val="auto"/>
        </w:rPr>
        <w:t xml:space="preserve"> (Confidentiality); </w:t>
      </w:r>
      <w:r>
        <w:rPr>
          <w:rFonts w:ascii="Arial" w:cs="Arial" w:eastAsia="Arial" w:hAnsi="Arial"/>
          <w:sz w:val="20"/>
          <w:szCs w:val="20"/>
          <w:u w:val="single" w:color="auto"/>
          <w:color w:val="auto"/>
        </w:rPr>
        <w:t>9.10</w:t>
      </w:r>
      <w:r>
        <w:rPr>
          <w:rFonts w:ascii="Arial" w:cs="Arial" w:eastAsia="Arial" w:hAnsi="Arial"/>
          <w:sz w:val="20"/>
          <w:szCs w:val="20"/>
          <w:color w:val="auto"/>
        </w:rPr>
        <w:t xml:space="preserve"> (Governing Law; Jurisdiction; Etc.); </w:t>
      </w:r>
      <w:r>
        <w:rPr>
          <w:rFonts w:ascii="Arial" w:cs="Arial" w:eastAsia="Arial" w:hAnsi="Arial"/>
          <w:sz w:val="20"/>
          <w:szCs w:val="20"/>
          <w:u w:val="single" w:color="auto"/>
          <w:color w:val="auto"/>
        </w:rPr>
        <w:t>9.11</w:t>
      </w:r>
      <w:r>
        <w:rPr>
          <w:rFonts w:ascii="Arial" w:cs="Arial" w:eastAsia="Arial" w:hAnsi="Arial"/>
          <w:sz w:val="20"/>
          <w:szCs w:val="20"/>
          <w:color w:val="auto"/>
        </w:rPr>
        <w:t xml:space="preserve"> (Execution in Counterparts); </w:t>
      </w:r>
      <w:r>
        <w:rPr>
          <w:rFonts w:ascii="Arial" w:cs="Arial" w:eastAsia="Arial" w:hAnsi="Arial"/>
          <w:sz w:val="20"/>
          <w:szCs w:val="20"/>
          <w:u w:val="single" w:color="auto"/>
          <w:color w:val="auto"/>
        </w:rPr>
        <w:t>9.14</w:t>
      </w:r>
      <w:r>
        <w:rPr>
          <w:rFonts w:ascii="Arial" w:cs="Arial" w:eastAsia="Arial" w:hAnsi="Arial"/>
          <w:sz w:val="20"/>
          <w:szCs w:val="20"/>
          <w:color w:val="auto"/>
        </w:rPr>
        <w:t xml:space="preserve"> (Acknowledgement and Consent to Bail-In of EEA Financial Institutions); and </w:t>
      </w:r>
      <w:r>
        <w:rPr>
          <w:rFonts w:ascii="Arial" w:cs="Arial" w:eastAsia="Arial" w:hAnsi="Arial"/>
          <w:sz w:val="20"/>
          <w:szCs w:val="20"/>
          <w:u w:val="single" w:color="auto"/>
          <w:color w:val="auto"/>
        </w:rPr>
        <w:t>9.19</w:t>
      </w:r>
      <w:r>
        <w:rPr>
          <w:rFonts w:ascii="Arial" w:cs="Arial" w:eastAsia="Arial" w:hAnsi="Arial"/>
          <w:sz w:val="20"/>
          <w:szCs w:val="20"/>
          <w:color w:val="auto"/>
        </w:rPr>
        <w:t xml:space="preserve"> (Waiver of Jury Trial) of the Credit Agreement shall apply with like effect to this Amendment. This Amendment shall be a “Loan Document” for all purposes under the Credit Agreement.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[REMAINDER OF PAGE LEFT INTENTIONALLY BLANK]</w:t>
      </w:r>
    </w:p>
    <w:p>
      <w:pPr>
        <w:sectPr>
          <w:pgSz w:w="11900" w:h="16838" w:orient="portrait"/>
          <w:cols w:equalWidth="0" w:num="1">
            <w:col w:w="11420"/>
          </w:cols>
          <w:pgMar w:left="240" w:top="595" w:right="239" w:bottom="1440" w:gutter="0" w:footer="0" w:header="0"/>
        </w:sectPr>
      </w:pPr>
    </w:p>
    <w:bookmarkStart w:id="71" w:name="page72"/>
    <w:bookmarkEnd w:id="71"/>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proper and duly authorized officers as of the day and year first above written.</w:t>
      </w:r>
    </w:p>
    <w:p>
      <w:pPr>
        <w:spacing w:after="0" w:line="339"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INTERNATIONAL FLAVORS &amp; FRAGRANCES INC.,</w:t>
      </w:r>
    </w:p>
    <w:p>
      <w:pPr>
        <w:spacing w:after="0" w:line="54"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Taylor _________________________</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Name: John Taylor</w:t>
      </w:r>
    </w:p>
    <w:p>
      <w:pPr>
        <w:ind w:left="5580"/>
        <w:spacing w:after="0"/>
        <w:rPr>
          <w:sz w:val="20"/>
          <w:szCs w:val="20"/>
          <w:color w:val="auto"/>
        </w:rPr>
      </w:pPr>
      <w:r>
        <w:rPr>
          <w:rFonts w:ascii="Arial" w:cs="Arial" w:eastAsia="Arial" w:hAnsi="Arial"/>
          <w:sz w:val="20"/>
          <w:szCs w:val="20"/>
          <w:color w:val="auto"/>
        </w:rPr>
        <w:t>Title: Treasurer</w:t>
      </w:r>
    </w:p>
    <w:p>
      <w:pPr>
        <w:sectPr>
          <w:pgSz w:w="11900" w:h="16838" w:orient="portrait"/>
          <w:cols w:equalWidth="0" w:num="1">
            <w:col w:w="11420"/>
          </w:cols>
          <w:pgMar w:left="240" w:top="582" w:right="239" w:bottom="1440" w:gutter="0" w:footer="0" w:header="0"/>
        </w:sectPr>
      </w:pPr>
    </w:p>
    <w:bookmarkStart w:id="72" w:name="page73"/>
    <w:bookmarkEnd w:id="72"/>
    <w:p>
      <w:pPr>
        <w:ind w:left="4020"/>
        <w:spacing w:after="0"/>
        <w:rPr>
          <w:sz w:val="20"/>
          <w:szCs w:val="20"/>
          <w:color w:val="auto"/>
        </w:rPr>
      </w:pPr>
      <w:r>
        <w:rPr>
          <w:rFonts w:ascii="Arial" w:cs="Arial" w:eastAsia="Arial" w:hAnsi="Arial"/>
          <w:sz w:val="19"/>
          <w:szCs w:val="19"/>
          <w:color w:val="auto"/>
        </w:rPr>
        <w:t>MORGAN STANLEY SENIOR FUNDING, INC.,</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as Agent</w:t>
      </w:r>
    </w:p>
    <w:p>
      <w:pPr>
        <w:spacing w:after="0" w:line="3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Subhalakshmi Ghosh-Kohli_____________</w:t>
      </w:r>
    </w:p>
    <w:p>
      <w:pPr>
        <w:spacing w:after="0" w:line="38"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Name: Subhalakshmi Ghosh-Kohli</w:t>
      </w:r>
    </w:p>
    <w:p>
      <w:pPr>
        <w:ind w:left="438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019"/>
          </w:cols>
          <w:pgMar w:left="1440" w:top="960" w:right="1440" w:bottom="1440" w:gutter="0" w:footer="0" w:header="0"/>
        </w:sectPr>
      </w:pPr>
    </w:p>
    <w:bookmarkStart w:id="73" w:name="page74"/>
    <w:bookmarkEnd w:id="73"/>
    <w:p>
      <w:pPr>
        <w:ind w:left="3880"/>
        <w:spacing w:after="0"/>
        <w:rPr>
          <w:sz w:val="20"/>
          <w:szCs w:val="20"/>
          <w:color w:val="auto"/>
        </w:rPr>
      </w:pPr>
      <w:r>
        <w:rPr>
          <w:rFonts w:ascii="Arial" w:cs="Arial" w:eastAsia="Arial" w:hAnsi="Arial"/>
          <w:sz w:val="20"/>
          <w:szCs w:val="20"/>
          <w:color w:val="auto"/>
        </w:rPr>
        <w:t>MORGAN STANLEY BANK, N.A.,</w:t>
      </w:r>
    </w:p>
    <w:p>
      <w:pPr>
        <w:spacing w:after="0" w:line="54"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as a Lender</w:t>
      </w:r>
    </w:p>
    <w:p>
      <w:pPr>
        <w:spacing w:after="0" w:line="54"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By: /s/ Subhalakshmi Ghosh-Kohli_____________</w:t>
      </w:r>
    </w:p>
    <w:p>
      <w:pPr>
        <w:spacing w:after="0" w:line="7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Name: Subhalakshmi Ghosh-Kohli</w:t>
      </w:r>
    </w:p>
    <w:p>
      <w:pPr>
        <w:spacing w:after="0" w:line="54"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019"/>
          </w:cols>
          <w:pgMar w:left="1440" w:top="960" w:right="1440" w:bottom="1440" w:gutter="0" w:footer="0" w:header="0"/>
        </w:sectPr>
      </w:pPr>
    </w:p>
    <w:bookmarkStart w:id="74" w:name="page75"/>
    <w:bookmarkEnd w:id="74"/>
    <w:p>
      <w:pPr>
        <w:ind w:left="4620"/>
        <w:spacing w:after="0"/>
        <w:rPr>
          <w:sz w:val="20"/>
          <w:szCs w:val="20"/>
          <w:color w:val="auto"/>
        </w:rPr>
      </w:pPr>
      <w:r>
        <w:rPr>
          <w:rFonts w:ascii="Arial" w:cs="Arial" w:eastAsia="Arial" w:hAnsi="Arial"/>
          <w:sz w:val="20"/>
          <w:szCs w:val="20"/>
          <w:color w:val="auto"/>
        </w:rPr>
        <w:t>BNP Paribas,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Pamela J. Fitton________________</w:t>
      </w:r>
    </w:p>
    <w:p>
      <w:pPr>
        <w:spacing w:after="0" w:line="6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Pamela J. Fitton</w:t>
      </w:r>
    </w:p>
    <w:p>
      <w:pPr>
        <w:ind w:left="496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Pace__________________</w:t>
      </w:r>
    </w:p>
    <w:p>
      <w:pPr>
        <w:spacing w:after="0" w:line="38"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Name: Richard Pace</w:t>
      </w:r>
    </w:p>
    <w:p>
      <w:pPr>
        <w:ind w:left="494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019"/>
          </w:cols>
          <w:pgMar w:left="1440" w:top="960" w:right="1440" w:bottom="1440" w:gutter="0" w:footer="0" w:header="0"/>
        </w:sectPr>
      </w:pPr>
    </w:p>
    <w:bookmarkStart w:id="75" w:name="page76"/>
    <w:bookmarkEnd w:id="75"/>
    <w:p>
      <w:pPr>
        <w:ind w:left="4620"/>
        <w:spacing w:after="0"/>
        <w:rPr>
          <w:sz w:val="20"/>
          <w:szCs w:val="20"/>
          <w:color w:val="auto"/>
        </w:rPr>
      </w:pPr>
      <w:r>
        <w:rPr>
          <w:rFonts w:ascii="Arial" w:cs="Arial" w:eastAsia="Arial" w:hAnsi="Arial"/>
          <w:sz w:val="20"/>
          <w:szCs w:val="20"/>
          <w:color w:val="auto"/>
        </w:rPr>
        <w:t>CITIBANK,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Vondriska ________________</w:t>
      </w:r>
    </w:p>
    <w:p>
      <w:pPr>
        <w:spacing w:after="0" w:line="3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Michael Vondriska</w:t>
      </w:r>
    </w:p>
    <w:p>
      <w:pPr>
        <w:ind w:left="49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176" w:right="1440" w:bottom="1440" w:gutter="0" w:footer="0" w:header="0"/>
        </w:sectPr>
      </w:pPr>
    </w:p>
    <w:bookmarkStart w:id="76" w:name="page77"/>
    <w:bookmarkEnd w:id="76"/>
    <w:p>
      <w:pPr>
        <w:ind w:left="4620"/>
        <w:spacing w:after="0"/>
        <w:rPr>
          <w:sz w:val="20"/>
          <w:szCs w:val="20"/>
          <w:color w:val="auto"/>
        </w:rPr>
      </w:pPr>
      <w:r>
        <w:rPr>
          <w:rFonts w:ascii="Arial" w:cs="Arial" w:eastAsia="Arial" w:hAnsi="Arial"/>
          <w:sz w:val="18"/>
          <w:szCs w:val="18"/>
          <w:color w:val="auto"/>
        </w:rPr>
        <w:t>JPMORGAN CHASE BANK,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Joon Hur________________</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Joon Hur</w:t>
      </w:r>
    </w:p>
    <w:p>
      <w:pPr>
        <w:ind w:left="4960"/>
        <w:spacing w:after="0"/>
        <w:rPr>
          <w:sz w:val="20"/>
          <w:szCs w:val="20"/>
          <w:color w:val="auto"/>
        </w:rPr>
      </w:pPr>
      <w:r>
        <w:rPr>
          <w:rFonts w:ascii="Arial" w:cs="Arial" w:eastAsia="Arial" w:hAnsi="Arial"/>
          <w:sz w:val="20"/>
          <w:szCs w:val="20"/>
          <w:color w:val="auto"/>
        </w:rPr>
        <w:t>Title: Executive Director</w:t>
      </w:r>
    </w:p>
    <w:p>
      <w:pPr>
        <w:sectPr>
          <w:pgSz w:w="11900" w:h="16838" w:orient="portrait"/>
          <w:cols w:equalWidth="0" w:num="1">
            <w:col w:w="9019"/>
          </w:cols>
          <w:pgMar w:left="1440" w:top="1176" w:right="1440" w:bottom="1440" w:gutter="0" w:footer="0" w:header="0"/>
        </w:sectPr>
      </w:pPr>
    </w:p>
    <w:bookmarkStart w:id="77" w:name="page78"/>
    <w:bookmarkEnd w:id="77"/>
    <w:p>
      <w:pPr>
        <w:ind w:left="4620"/>
        <w:spacing w:after="0"/>
        <w:rPr>
          <w:sz w:val="20"/>
          <w:szCs w:val="20"/>
          <w:color w:val="auto"/>
        </w:rPr>
      </w:pPr>
      <w:r>
        <w:rPr>
          <w:rFonts w:ascii="Arial" w:cs="Arial" w:eastAsia="Arial" w:hAnsi="Arial"/>
          <w:sz w:val="20"/>
          <w:szCs w:val="20"/>
          <w:color w:val="auto"/>
        </w:rPr>
        <w:t>Citizens Bank, N.A.,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Angela Reilly________________</w:t>
      </w:r>
    </w:p>
    <w:p>
      <w:pPr>
        <w:spacing w:after="0" w:line="3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Angela Reilly</w:t>
      </w:r>
    </w:p>
    <w:p>
      <w:pPr>
        <w:ind w:left="4960"/>
        <w:spacing w:after="0"/>
        <w:rPr>
          <w:sz w:val="20"/>
          <w:szCs w:val="20"/>
          <w:color w:val="auto"/>
        </w:rPr>
      </w:pPr>
      <w:r>
        <w:rPr>
          <w:rFonts w:ascii="Arial" w:cs="Arial" w:eastAsia="Arial" w:hAnsi="Arial"/>
          <w:sz w:val="20"/>
          <w:szCs w:val="20"/>
          <w:color w:val="auto"/>
        </w:rPr>
        <w:t>Title: Senior Vice President</w:t>
      </w:r>
    </w:p>
    <w:p>
      <w:pPr>
        <w:sectPr>
          <w:pgSz w:w="11900" w:h="16838" w:orient="portrait"/>
          <w:cols w:equalWidth="0" w:num="1">
            <w:col w:w="9019"/>
          </w:cols>
          <w:pgMar w:left="1440" w:top="1176" w:right="1440" w:bottom="1440" w:gutter="0" w:footer="0" w:header="0"/>
        </w:sectPr>
      </w:pPr>
    </w:p>
    <w:bookmarkStart w:id="78" w:name="page79"/>
    <w:bookmarkEnd w:id="78"/>
    <w:p>
      <w:pPr>
        <w:ind w:left="4620"/>
        <w:spacing w:after="0"/>
        <w:rPr>
          <w:sz w:val="20"/>
          <w:szCs w:val="20"/>
          <w:color w:val="auto"/>
        </w:rPr>
      </w:pPr>
      <w:r>
        <w:rPr>
          <w:rFonts w:ascii="Arial" w:cs="Arial" w:eastAsia="Arial" w:hAnsi="Arial"/>
          <w:sz w:val="20"/>
          <w:szCs w:val="20"/>
          <w:color w:val="auto"/>
        </w:rPr>
        <w:t>CoBank, ACB,</w:t>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Patrick Sauer________________</w:t>
      </w:r>
    </w:p>
    <w:p>
      <w:pPr>
        <w:spacing w:after="0" w:line="6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Patrick Sauer</w:t>
      </w:r>
    </w:p>
    <w:p>
      <w:pPr>
        <w:ind w:left="49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960" w:right="1440" w:bottom="1440" w:gutter="0" w:footer="0" w:header="0"/>
        </w:sectPr>
      </w:pPr>
    </w:p>
    <w:bookmarkStart w:id="79" w:name="page80"/>
    <w:bookmarkEnd w:id="79"/>
    <w:p>
      <w:pPr>
        <w:ind w:left="4620"/>
        <w:spacing w:after="0"/>
        <w:rPr>
          <w:sz w:val="20"/>
          <w:szCs w:val="20"/>
          <w:color w:val="auto"/>
        </w:rPr>
      </w:pPr>
      <w:r>
        <w:rPr>
          <w:rFonts w:ascii="Arial" w:cs="Arial" w:eastAsia="Arial" w:hAnsi="Arial"/>
          <w:sz w:val="18"/>
          <w:szCs w:val="18"/>
          <w:color w:val="auto"/>
        </w:rPr>
        <w:t>HSBC Bank USA, National Association as a</w:t>
      </w:r>
    </w:p>
    <w:p>
      <w:pPr>
        <w:spacing w:after="0" w:line="39"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Levins___________________</w:t>
      </w:r>
    </w:p>
    <w:p>
      <w:pPr>
        <w:spacing w:after="0" w:line="3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Robert Levins</w:t>
      </w:r>
    </w:p>
    <w:p>
      <w:pPr>
        <w:ind w:left="4960"/>
        <w:spacing w:after="0"/>
        <w:rPr>
          <w:sz w:val="20"/>
          <w:szCs w:val="20"/>
          <w:color w:val="auto"/>
        </w:rPr>
      </w:pPr>
      <w:r>
        <w:rPr>
          <w:rFonts w:ascii="Arial" w:cs="Arial" w:eastAsia="Arial" w:hAnsi="Arial"/>
          <w:sz w:val="20"/>
          <w:szCs w:val="20"/>
          <w:color w:val="auto"/>
        </w:rPr>
        <w:t>Title: Senior Portfolio Manager</w:t>
      </w:r>
    </w:p>
    <w:p>
      <w:pPr>
        <w:sectPr>
          <w:pgSz w:w="11900" w:h="16838" w:orient="portrait"/>
          <w:cols w:equalWidth="0" w:num="1">
            <w:col w:w="9019"/>
          </w:cols>
          <w:pgMar w:left="1440" w:top="1176" w:right="1440" w:bottom="1440" w:gutter="0" w:footer="0" w:header="0"/>
        </w:sectPr>
      </w:pPr>
    </w:p>
    <w:bookmarkStart w:id="80" w:name="page81"/>
    <w:bookmarkEnd w:id="80"/>
    <w:p>
      <w:pPr>
        <w:ind w:left="4620"/>
        <w:spacing w:after="0"/>
        <w:rPr>
          <w:sz w:val="20"/>
          <w:szCs w:val="20"/>
          <w:color w:val="auto"/>
        </w:rPr>
      </w:pPr>
      <w:r>
        <w:rPr>
          <w:rFonts w:ascii="Arial" w:cs="Arial" w:eastAsia="Arial" w:hAnsi="Arial"/>
          <w:sz w:val="18"/>
          <w:szCs w:val="18"/>
          <w:color w:val="auto"/>
        </w:rPr>
        <w:t>ING Bank N.V., Dublin Branch,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Barry Fehily________________</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Name: Barry Fehily</w:t>
      </w:r>
    </w:p>
    <w:p>
      <w:pPr>
        <w:ind w:left="5260"/>
        <w:spacing w:after="0"/>
        <w:rPr>
          <w:sz w:val="20"/>
          <w:szCs w:val="20"/>
          <w:color w:val="auto"/>
        </w:rPr>
      </w:pPr>
      <w:r>
        <w:rPr>
          <w:rFonts w:ascii="Arial" w:cs="Arial" w:eastAsia="Arial" w:hAnsi="Arial"/>
          <w:sz w:val="20"/>
          <w:szCs w:val="20"/>
          <w:color w:val="auto"/>
        </w:rPr>
        <w:t>Title: Country Manager</w:t>
      </w:r>
    </w:p>
    <w:p>
      <w:pPr>
        <w:spacing w:after="0" w:line="38" w:lineRule="exact"/>
        <w:rPr>
          <w:sz w:val="20"/>
          <w:szCs w:val="20"/>
          <w:color w:val="auto"/>
        </w:rPr>
      </w:pPr>
    </w:p>
    <w:p>
      <w:pPr>
        <w:ind w:left="4620"/>
        <w:spacing w:after="0"/>
        <w:rPr>
          <w:sz w:val="20"/>
          <w:szCs w:val="20"/>
          <w:color w:val="auto"/>
        </w:rPr>
      </w:pPr>
      <w:r>
        <w:rPr>
          <w:rFonts w:ascii="Arial" w:cs="Arial" w:eastAsia="Arial" w:hAnsi="Arial"/>
          <w:sz w:val="19"/>
          <w:szCs w:val="19"/>
          <w:color w:val="auto"/>
        </w:rPr>
        <w:t>By: /s/ Shaun Hawley_______________</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Name: Shaun Hawley</w:t>
      </w:r>
    </w:p>
    <w:p>
      <w:pPr>
        <w:ind w:left="526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1176" w:right="1440" w:bottom="1440" w:gutter="0" w:footer="0" w:header="0"/>
        </w:sectPr>
      </w:pPr>
    </w:p>
    <w:bookmarkStart w:id="81" w:name="page82"/>
    <w:bookmarkEnd w:id="81"/>
    <w:p>
      <w:pPr>
        <w:ind w:left="4620"/>
        <w:spacing w:after="0"/>
        <w:rPr>
          <w:sz w:val="20"/>
          <w:szCs w:val="20"/>
          <w:color w:val="auto"/>
        </w:rPr>
      </w:pPr>
      <w:r>
        <w:rPr>
          <w:rFonts w:ascii="Arial" w:cs="Arial" w:eastAsia="Arial" w:hAnsi="Arial"/>
          <w:sz w:val="20"/>
          <w:szCs w:val="20"/>
          <w:color w:val="auto"/>
        </w:rPr>
        <w:t>MUFG Bank, Ltd.,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Liwei Liu________________</w:t>
      </w:r>
    </w:p>
    <w:p>
      <w:pPr>
        <w:spacing w:after="0" w:line="3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Liwei Liu</w:t>
      </w:r>
    </w:p>
    <w:p>
      <w:pPr>
        <w:ind w:left="49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176" w:right="1440" w:bottom="1440" w:gutter="0" w:footer="0" w:header="0"/>
        </w:sectPr>
      </w:pPr>
    </w:p>
    <w:bookmarkStart w:id="82" w:name="page83"/>
    <w:bookmarkEnd w:id="82"/>
    <w:p>
      <w:pPr>
        <w:ind w:left="4620"/>
        <w:spacing w:after="0"/>
        <w:rPr>
          <w:sz w:val="20"/>
          <w:szCs w:val="20"/>
          <w:color w:val="auto"/>
        </w:rPr>
      </w:pPr>
      <w:r>
        <w:rPr>
          <w:rFonts w:ascii="Arial" w:cs="Arial" w:eastAsia="Arial" w:hAnsi="Arial"/>
          <w:sz w:val="19"/>
          <w:szCs w:val="19"/>
          <w:color w:val="auto"/>
        </w:rPr>
        <w:t>Standard Chartered Bank,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Mattern________________</w:t>
      </w:r>
    </w:p>
    <w:p>
      <w:pPr>
        <w:spacing w:after="0" w:line="3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Daniel Mattern</w:t>
      </w:r>
    </w:p>
    <w:p>
      <w:pPr>
        <w:ind w:left="4960"/>
        <w:spacing w:after="0"/>
        <w:rPr>
          <w:sz w:val="20"/>
          <w:szCs w:val="20"/>
          <w:color w:val="auto"/>
        </w:rPr>
      </w:pPr>
      <w:r>
        <w:rPr>
          <w:rFonts w:ascii="Arial" w:cs="Arial" w:eastAsia="Arial" w:hAnsi="Arial"/>
          <w:sz w:val="20"/>
          <w:szCs w:val="20"/>
          <w:color w:val="auto"/>
        </w:rPr>
        <w:t>Title: Associate Director</w:t>
      </w:r>
    </w:p>
    <w:p>
      <w:pPr>
        <w:sectPr>
          <w:pgSz w:w="11900" w:h="16838" w:orient="portrait"/>
          <w:cols w:equalWidth="0" w:num="1">
            <w:col w:w="9019"/>
          </w:cols>
          <w:pgMar w:left="1440" w:top="960" w:right="1440" w:bottom="1440" w:gutter="0" w:footer="0" w:header="0"/>
        </w:sectPr>
      </w:pPr>
    </w:p>
    <w:bookmarkStart w:id="83" w:name="page84"/>
    <w:bookmarkEnd w:id="83"/>
    <w:p>
      <w:pPr>
        <w:ind w:left="4620"/>
        <w:spacing w:after="0"/>
        <w:rPr>
          <w:sz w:val="20"/>
          <w:szCs w:val="20"/>
          <w:color w:val="auto"/>
        </w:rPr>
      </w:pPr>
      <w:r>
        <w:rPr>
          <w:rFonts w:ascii="Arial" w:cs="Arial" w:eastAsia="Arial" w:hAnsi="Arial"/>
          <w:sz w:val="16"/>
          <w:szCs w:val="16"/>
          <w:color w:val="auto"/>
        </w:rPr>
        <w:t>U.S.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Harry J. Brown________________</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Harry J. Brown</w:t>
      </w:r>
    </w:p>
    <w:p>
      <w:pPr>
        <w:ind w:left="49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960" w:right="1440" w:bottom="1440" w:gutter="0" w:footer="0" w:header="0"/>
        </w:sectPr>
      </w:pPr>
    </w:p>
    <w:bookmarkStart w:id="84" w:name="page85"/>
    <w:bookmarkEnd w:id="84"/>
    <w:p>
      <w:pPr>
        <w:ind w:left="4620"/>
        <w:spacing w:after="0"/>
        <w:rPr>
          <w:sz w:val="20"/>
          <w:szCs w:val="20"/>
          <w:color w:val="auto"/>
        </w:rPr>
      </w:pPr>
      <w:r>
        <w:rPr>
          <w:rFonts w:ascii="Arial" w:cs="Arial" w:eastAsia="Arial" w:hAnsi="Arial"/>
          <w:sz w:val="18"/>
          <w:szCs w:val="18"/>
          <w:color w:val="auto"/>
        </w:rPr>
        <w:t>WELLS FARGO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Denis Waltrich________________</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Name: Denis Waltrich</w:t>
      </w:r>
    </w:p>
    <w:p>
      <w:pPr>
        <w:ind w:left="496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10040"/>
          </w:cols>
          <w:pgMar w:left="1440" w:top="1176" w:right="4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Exhibit 12</w:t>
            </w:r>
          </w:p>
        </w:tc>
        <w:tc>
          <w:tcPr>
            <w:tcW w:w="0" w:type="dxa"/>
            <w:vAlign w:val="bottom"/>
          </w:tcPr>
          <w:p>
            <w:pPr>
              <w:spacing w:after="0"/>
              <w:rPr>
                <w:sz w:val="1"/>
                <w:szCs w:val="1"/>
                <w:color w:val="auto"/>
              </w:rPr>
            </w:pPr>
          </w:p>
        </w:tc>
      </w:tr>
      <w:tr>
        <w:trPr>
          <w:trHeight w:val="459"/>
        </w:trPr>
        <w:tc>
          <w:tcPr>
            <w:tcW w:w="3660" w:type="dxa"/>
            <w:vAlign w:val="bottom"/>
          </w:tcPr>
          <w:p>
            <w:pPr>
              <w:spacing w:after="0"/>
              <w:rPr>
                <w:sz w:val="24"/>
                <w:szCs w:val="24"/>
                <w:color w:val="auto"/>
              </w:rPr>
            </w:pPr>
          </w:p>
        </w:tc>
        <w:tc>
          <w:tcPr>
            <w:tcW w:w="4180" w:type="dxa"/>
            <w:vAlign w:val="bottom"/>
            <w:gridSpan w:val="9"/>
          </w:tcPr>
          <w:p>
            <w:pPr>
              <w:ind w:left="40"/>
              <w:spacing w:after="0"/>
              <w:rPr>
                <w:sz w:val="20"/>
                <w:szCs w:val="20"/>
                <w:color w:val="auto"/>
              </w:rPr>
            </w:pPr>
            <w:r>
              <w:rPr>
                <w:rFonts w:ascii="Arial" w:cs="Arial" w:eastAsia="Arial" w:hAnsi="Arial"/>
                <w:sz w:val="18"/>
                <w:szCs w:val="18"/>
                <w:b w:val="1"/>
                <w:bCs w:val="1"/>
                <w:color w:val="auto"/>
                <w:w w:val="91"/>
              </w:rPr>
              <w:t>Computation of Ratios of Earnings to Fixed Charges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8"/>
          </w:tcPr>
          <w:p>
            <w:pPr>
              <w:jc w:val="center"/>
              <w:ind w:right="400"/>
              <w:spacing w:after="0"/>
              <w:rPr>
                <w:sz w:val="20"/>
                <w:szCs w:val="20"/>
                <w:color w:val="auto"/>
              </w:rPr>
            </w:pPr>
            <w:r>
              <w:rPr>
                <w:rFonts w:ascii="Arial" w:cs="Arial" w:eastAsia="Arial" w:hAnsi="Arial"/>
                <w:sz w:val="16"/>
                <w:szCs w:val="16"/>
                <w:b w:val="1"/>
                <w:bCs w:val="1"/>
                <w:color w:val="auto"/>
                <w:w w:val="92"/>
              </w:rPr>
              <w:t>Ratio of Earnings to Fixed Charges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660" w:type="dxa"/>
            <w:vAlign w:val="bottom"/>
          </w:tcPr>
          <w:p>
            <w:pPr>
              <w:ind w:left="40"/>
              <w:spacing w:after="0"/>
              <w:rPr>
                <w:sz w:val="20"/>
                <w:szCs w:val="20"/>
                <w:color w:val="auto"/>
              </w:rPr>
            </w:pPr>
            <w:r>
              <w:rPr>
                <w:rFonts w:ascii="Arial" w:cs="Arial" w:eastAsia="Arial" w:hAnsi="Arial"/>
                <w:sz w:val="16"/>
                <w:szCs w:val="16"/>
                <w:i w:val="1"/>
                <w:iCs w:val="1"/>
                <w:color w:val="auto"/>
                <w:w w:val="99"/>
              </w:rPr>
              <w:t>(Amounts in thousands except Ratio of Earnings to</w:t>
            </w:r>
          </w:p>
        </w:tc>
        <w:tc>
          <w:tcPr>
            <w:tcW w:w="140" w:type="dxa"/>
            <w:vAlign w:val="bottom"/>
          </w:tcPr>
          <w:p>
            <w:pPr>
              <w:spacing w:after="0"/>
              <w:rPr>
                <w:sz w:val="21"/>
                <w:szCs w:val="21"/>
                <w:color w:val="auto"/>
              </w:rPr>
            </w:pP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Six months ended</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Fiscal Year</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i w:val="1"/>
                <w:iCs w:val="1"/>
                <w:color w:val="auto"/>
              </w:rPr>
              <w:t>Fixed Charges)</w:t>
            </w:r>
          </w:p>
        </w:tc>
        <w:tc>
          <w:tcPr>
            <w:tcW w:w="1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2018</w:t>
            </w:r>
          </w:p>
        </w:tc>
        <w:tc>
          <w:tcPr>
            <w:tcW w:w="28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8"/>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70"/>
        </w:trPr>
        <w:tc>
          <w:tcPr>
            <w:tcW w:w="3660" w:type="dxa"/>
            <w:vAlign w:val="bottom"/>
          </w:tcPr>
          <w:p>
            <w:pPr>
              <w:ind w:left="160"/>
              <w:spacing w:after="0"/>
              <w:rPr>
                <w:sz w:val="20"/>
                <w:szCs w:val="20"/>
                <w:color w:val="auto"/>
              </w:rPr>
            </w:pPr>
            <w:r>
              <w:rPr>
                <w:rFonts w:ascii="Arial" w:cs="Arial" w:eastAsia="Arial" w:hAnsi="Arial"/>
                <w:sz w:val="16"/>
                <w:szCs w:val="16"/>
                <w:i w:val="1"/>
                <w:iCs w:val="1"/>
                <w:color w:val="auto"/>
              </w:rPr>
              <w:t>Add:</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before taxes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280,754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537,045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523,717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549,061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485,210</w:t>
            </w:r>
          </w:p>
        </w:tc>
        <w:tc>
          <w:tcPr>
            <w:tcW w:w="0" w:type="dxa"/>
            <w:vAlign w:val="bottom"/>
          </w:tcPr>
          <w:p>
            <w:pPr>
              <w:spacing w:after="0"/>
              <w:rPr>
                <w:sz w:val="1"/>
                <w:szCs w:val="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Fixed charges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78,830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82,133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68,838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63,158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63,098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64,194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capitalized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3,087</w:t>
            </w:r>
          </w:p>
        </w:tc>
        <w:tc>
          <w:tcPr>
            <w:tcW w:w="0" w:type="dxa"/>
            <w:vAlign w:val="bottom"/>
          </w:tcPr>
          <w:p>
            <w:pPr>
              <w:spacing w:after="0"/>
              <w:rPr>
                <w:sz w:val="1"/>
                <w:szCs w:val="1"/>
                <w:color w:val="auto"/>
              </w:rPr>
            </w:pPr>
          </w:p>
        </w:tc>
      </w:tr>
      <w:tr>
        <w:trPr>
          <w:trHeight w:val="237"/>
        </w:trPr>
        <w:tc>
          <w:tcPr>
            <w:tcW w:w="3660" w:type="dxa"/>
            <w:vAlign w:val="bottom"/>
          </w:tcPr>
          <w:p>
            <w:pPr>
              <w:ind w:left="160"/>
              <w:spacing w:after="0"/>
              <w:rPr>
                <w:sz w:val="20"/>
                <w:szCs w:val="20"/>
                <w:color w:val="auto"/>
              </w:rPr>
            </w:pPr>
            <w:r>
              <w:rPr>
                <w:rFonts w:ascii="Arial" w:cs="Arial" w:eastAsia="Arial" w:hAnsi="Arial"/>
                <w:sz w:val="16"/>
                <w:szCs w:val="16"/>
                <w:i w:val="1"/>
                <w:iCs w:val="1"/>
                <w:color w:val="auto"/>
              </w:rPr>
              <w:t>Less: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Capitalized interest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(6,629)</w:t>
            </w:r>
          </w:p>
        </w:tc>
        <w:tc>
          <w:tcPr>
            <w:tcW w:w="0" w:type="dxa"/>
            <w:vAlign w:val="bottom"/>
          </w:tcPr>
          <w:p>
            <w:pPr>
              <w:spacing w:after="0"/>
              <w:rPr>
                <w:sz w:val="1"/>
                <w:szCs w:val="1"/>
                <w:color w:val="auto"/>
              </w:rPr>
            </w:pPr>
          </w:p>
        </w:tc>
      </w:tr>
      <w:tr>
        <w:trPr>
          <w:trHeight w:val="284"/>
        </w:trPr>
        <w:tc>
          <w:tcPr>
            <w:tcW w:w="3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Earnings available for fixed charges</w:t>
            </w: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359,481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620,002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593,243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600,564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610,321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545,862</w:t>
            </w:r>
          </w:p>
        </w:tc>
        <w:tc>
          <w:tcPr>
            <w:tcW w:w="0" w:type="dxa"/>
            <w:vAlign w:val="bottom"/>
          </w:tcPr>
          <w:p>
            <w:pPr>
              <w:spacing w:after="0"/>
              <w:rPr>
                <w:sz w:val="1"/>
                <w:szCs w:val="1"/>
                <w:color w:val="auto"/>
              </w:rPr>
            </w:pPr>
          </w:p>
        </w:tc>
      </w:tr>
      <w:tr>
        <w:trPr>
          <w:trHeight w:val="311"/>
        </w:trPr>
        <w:tc>
          <w:tcPr>
            <w:tcW w:w="3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Fixed Charges: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69,841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65,363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46,767</w:t>
            </w:r>
          </w:p>
        </w:tc>
        <w:tc>
          <w:tcPr>
            <w:tcW w:w="0" w:type="dxa"/>
            <w:vAlign w:val="bottom"/>
          </w:tcPr>
          <w:p>
            <w:pPr>
              <w:spacing w:after="0"/>
              <w:rPr>
                <w:sz w:val="1"/>
                <w:szCs w:val="1"/>
                <w:color w:val="auto"/>
              </w:rPr>
            </w:pP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Capitalized interest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4,176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5,893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5,572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6,629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Portion of rental expense which represents interest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6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factor</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6,297</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12,594</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11,814</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11,203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11,459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10,798</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Arial" w:cs="Arial" w:eastAsia="Arial" w:hAnsi="Arial"/>
                <w:sz w:val="16"/>
                <w:szCs w:val="16"/>
                <w:color w:val="auto"/>
              </w:rPr>
              <w:t>Total Fixed charges</w:t>
            </w:r>
          </w:p>
        </w:tc>
        <w:tc>
          <w:tcPr>
            <w:tcW w:w="140" w:type="dxa"/>
            <w:vAlign w:val="bottom"/>
          </w:tcPr>
          <w:p>
            <w:pPr>
              <w:ind w:left="40"/>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b w:val="1"/>
                <w:bCs w:val="1"/>
                <w:color w:val="auto"/>
              </w:rPr>
              <w:t>78,830</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82,133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68,838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63,158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63,098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18"/>
              <w:spacing w:after="0"/>
              <w:rPr>
                <w:sz w:val="20"/>
                <w:szCs w:val="20"/>
                <w:color w:val="auto"/>
              </w:rPr>
            </w:pPr>
            <w:r>
              <w:rPr>
                <w:rFonts w:ascii="Arial" w:cs="Arial" w:eastAsia="Arial" w:hAnsi="Arial"/>
                <w:sz w:val="16"/>
                <w:szCs w:val="16"/>
                <w:b w:val="1"/>
                <w:bCs w:val="1"/>
                <w:color w:val="auto"/>
              </w:rPr>
              <w:t>64,194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Ratio of Earnings to Fixed Charges</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8.50</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21"/>
          <w:szCs w:val="21"/>
          <w:color w:val="auto"/>
          <w:vertAlign w:val="superscript"/>
        </w:rPr>
      </w:pPr>
      <w:r>
        <w:rPr>
          <w:rFonts w:ascii="Arial" w:cs="Arial" w:eastAsia="Arial" w:hAnsi="Arial"/>
          <w:sz w:val="15"/>
          <w:szCs w:val="15"/>
          <w:color w:val="auto"/>
        </w:rPr>
        <w:t>Represents one-third of rental expense, which we deem to be a reasonable estimate of the portion of our rental expense that is attributable to interest.</w:t>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I, Andreas Fibig, certify that:</w:t>
      </w:r>
    </w:p>
    <w:p>
      <w:pPr>
        <w:spacing w:after="0" w:line="162"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161"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5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5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sz w:val="20"/>
          <w:szCs w:val="20"/>
          <w:color w:val="auto"/>
        </w:rPr>
      </w:pPr>
    </w:p>
    <w:p>
      <w:pPr>
        <w:jc w:val="right"/>
        <w:ind w:left="660" w:right="40"/>
        <w:spacing w:after="0" w:line="316"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sz w:val="20"/>
          <w:szCs w:val="20"/>
          <w:color w:val="auto"/>
        </w:rPr>
      </w:pPr>
    </w:p>
    <w:p>
      <w:pPr>
        <w:ind w:left="1380" w:right="420" w:hanging="728"/>
        <w:spacing w:after="0" w:line="260" w:lineRule="auto"/>
        <w:rPr>
          <w:sz w:val="20"/>
          <w:szCs w:val="20"/>
          <w:color w:val="auto"/>
        </w:rPr>
      </w:pPr>
      <w:r>
        <w:rPr>
          <w:rFonts w:ascii="Arial" w:cs="Arial" w:eastAsia="Arial" w:hAnsi="Arial"/>
          <w:sz w:val="20"/>
          <w:szCs w:val="20"/>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Dated: August 7, 2018</w:t>
      </w:r>
    </w:p>
    <w:p>
      <w:pPr>
        <w:spacing w:after="0" w:line="162" w:lineRule="exact"/>
        <w:rPr>
          <w:sz w:val="20"/>
          <w:szCs w:val="20"/>
          <w:color w:val="auto"/>
        </w:rPr>
      </w:pPr>
    </w:p>
    <w:tbl>
      <w:tblPr>
        <w:tblLayout w:type="fixed"/>
        <w:tblInd w:w="2060" w:type="dxa"/>
        <w:tblCellMar>
          <w:top w:w="0" w:type="dxa"/>
          <w:left w:w="0" w:type="dxa"/>
          <w:bottom w:w="0" w:type="dxa"/>
          <w:right w:w="0" w:type="dxa"/>
        </w:tblCellMar>
      </w:tblP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8400" w:type="dxa"/>
            <w:vAlign w:val="bottom"/>
          </w:tcPr>
          <w:p>
            <w:pPr>
              <w:ind w:left="20"/>
              <w:spacing w:after="0"/>
              <w:rPr>
                <w:sz w:val="20"/>
                <w:szCs w:val="20"/>
                <w:color w:val="auto"/>
              </w:rPr>
            </w:pPr>
            <w:r>
              <w:rPr>
                <w:rFonts w:ascii="Arial" w:cs="Arial" w:eastAsia="Arial" w:hAnsi="Arial"/>
                <w:sz w:val="20"/>
                <w:szCs w:val="20"/>
                <w:color w:val="auto"/>
              </w:rPr>
              <w:t>/s/ Andreas Fibig</w:t>
            </w:r>
          </w:p>
        </w:tc>
      </w:tr>
      <w:tr>
        <w:trPr>
          <w:trHeight w:val="23"/>
        </w:trPr>
        <w:tc>
          <w:tcPr>
            <w:tcW w:w="76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r>
      <w:tr>
        <w:trPr>
          <w:trHeight w:val="254"/>
        </w:trPr>
        <w:tc>
          <w:tcPr>
            <w:tcW w:w="760" w:type="dxa"/>
            <w:vAlign w:val="bottom"/>
          </w:tcPr>
          <w:p>
            <w:pPr>
              <w:spacing w:after="0"/>
              <w:rPr>
                <w:sz w:val="20"/>
                <w:szCs w:val="20"/>
                <w:color w:val="auto"/>
              </w:rPr>
            </w:pPr>
            <w:r>
              <w:rPr>
                <w:rFonts w:ascii="Arial" w:cs="Arial" w:eastAsia="Arial" w:hAnsi="Arial"/>
                <w:sz w:val="20"/>
                <w:szCs w:val="20"/>
                <w:color w:val="auto"/>
              </w:rPr>
              <w:t>Name:</w:t>
            </w:r>
          </w:p>
        </w:tc>
        <w:tc>
          <w:tcPr>
            <w:tcW w:w="8400" w:type="dxa"/>
            <w:vAlign w:val="bottom"/>
          </w:tcPr>
          <w:p>
            <w:pPr>
              <w:ind w:left="20"/>
              <w:spacing w:after="0"/>
              <w:rPr>
                <w:sz w:val="20"/>
                <w:szCs w:val="20"/>
                <w:color w:val="auto"/>
              </w:rPr>
            </w:pPr>
            <w:r>
              <w:rPr>
                <w:rFonts w:ascii="Arial" w:cs="Arial" w:eastAsia="Arial" w:hAnsi="Arial"/>
                <w:sz w:val="20"/>
                <w:szCs w:val="20"/>
                <w:color w:val="auto"/>
              </w:rPr>
              <w:t>Andreas Fibig</w:t>
            </w:r>
          </w:p>
        </w:tc>
      </w:tr>
      <w:tr>
        <w:trPr>
          <w:trHeight w:val="284"/>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8400" w:type="dxa"/>
            <w:vAlign w:val="bottom"/>
          </w:tcPr>
          <w:p>
            <w:pPr>
              <w:ind w:left="20"/>
              <w:spacing w:after="0"/>
              <w:rPr>
                <w:sz w:val="20"/>
                <w:szCs w:val="20"/>
                <w:color w:val="auto"/>
              </w:rPr>
            </w:pPr>
            <w:r>
              <w:rPr>
                <w:rFonts w:ascii="Arial" w:cs="Arial" w:eastAsia="Arial" w:hAnsi="Arial"/>
                <w:sz w:val="20"/>
                <w:szCs w:val="20"/>
                <w:color w:val="auto"/>
              </w:rPr>
              <w:t>Chairman of the Board and Chief Executive Officer</w:t>
            </w:r>
          </w:p>
        </w:tc>
      </w:tr>
    </w:tbl>
    <w:p>
      <w:pPr>
        <w:sectPr>
          <w:pgSz w:w="11900" w:h="16838" w:orient="portrait"/>
          <w:cols w:equalWidth="0" w:num="1">
            <w:col w:w="11420"/>
          </w:cols>
          <w:pgMar w:left="240" w:top="582"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I, Richard A. O'Leary, certify that:</w:t>
      </w:r>
    </w:p>
    <w:p>
      <w:pPr>
        <w:spacing w:after="0" w:line="162"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161"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5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5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20"/>
          <w:szCs w:val="20"/>
          <w:color w:val="auto"/>
        </w:rPr>
      </w:pPr>
    </w:p>
    <w:p>
      <w:pPr>
        <w:ind w:left="1800" w:right="160" w:hanging="1144"/>
        <w:spacing w:after="0" w:line="250" w:lineRule="auto"/>
        <w:tabs>
          <w:tab w:leader="none" w:pos="1314" w:val="left"/>
        </w:tabs>
        <w:numPr>
          <w:ilvl w:val="1"/>
          <w:numId w:val="5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20"/>
          <w:szCs w:val="20"/>
          <w:color w:val="auto"/>
        </w:rPr>
      </w:pPr>
    </w:p>
    <w:p>
      <w:pPr>
        <w:ind w:left="1800" w:right="20" w:hanging="1144"/>
        <w:spacing w:after="0" w:line="260" w:lineRule="auto"/>
        <w:tabs>
          <w:tab w:leader="none" w:pos="1314" w:val="left"/>
        </w:tabs>
        <w:numPr>
          <w:ilvl w:val="1"/>
          <w:numId w:val="5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Dated: August 7, 2018</w:t>
      </w:r>
    </w:p>
    <w:p>
      <w:pPr>
        <w:spacing w:after="0" w:line="162" w:lineRule="exact"/>
        <w:rPr>
          <w:sz w:val="20"/>
          <w:szCs w:val="20"/>
          <w:color w:val="auto"/>
        </w:rPr>
      </w:pPr>
    </w:p>
    <w:tbl>
      <w:tblPr>
        <w:tblLayout w:type="fixed"/>
        <w:tblInd w:w="2300" w:type="dxa"/>
        <w:tblCellMar>
          <w:top w:w="0" w:type="dxa"/>
          <w:left w:w="0" w:type="dxa"/>
          <w:bottom w:w="0" w:type="dxa"/>
          <w:right w:w="0" w:type="dxa"/>
        </w:tblCellMar>
      </w:tblPr>
      <w:tr>
        <w:trPr>
          <w:trHeight w:val="250"/>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8180" w:type="dxa"/>
            <w:vAlign w:val="bottom"/>
          </w:tcPr>
          <w:p>
            <w:pPr>
              <w:ind w:left="40"/>
              <w:spacing w:after="0"/>
              <w:rPr>
                <w:sz w:val="20"/>
                <w:szCs w:val="20"/>
                <w:color w:val="auto"/>
              </w:rPr>
            </w:pPr>
            <w:r>
              <w:rPr>
                <w:rFonts w:ascii="Arial" w:cs="Arial" w:eastAsia="Arial" w:hAnsi="Arial"/>
                <w:sz w:val="20"/>
                <w:szCs w:val="20"/>
                <w:color w:val="auto"/>
              </w:rPr>
              <w:t>/s/ Richard A. O'Leary</w:t>
            </w:r>
          </w:p>
        </w:tc>
      </w:tr>
      <w:tr>
        <w:trPr>
          <w:trHeight w:val="23"/>
        </w:trPr>
        <w:tc>
          <w:tcPr>
            <w:tcW w:w="74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54"/>
        </w:trPr>
        <w:tc>
          <w:tcPr>
            <w:tcW w:w="740" w:type="dxa"/>
            <w:vAlign w:val="bottom"/>
          </w:tcPr>
          <w:p>
            <w:pPr>
              <w:spacing w:after="0"/>
              <w:rPr>
                <w:sz w:val="20"/>
                <w:szCs w:val="20"/>
                <w:color w:val="auto"/>
              </w:rPr>
            </w:pPr>
            <w:r>
              <w:rPr>
                <w:rFonts w:ascii="Arial" w:cs="Arial" w:eastAsia="Arial" w:hAnsi="Arial"/>
                <w:sz w:val="20"/>
                <w:szCs w:val="20"/>
                <w:color w:val="auto"/>
              </w:rPr>
              <w:t>Name:</w:t>
            </w:r>
          </w:p>
        </w:tc>
        <w:tc>
          <w:tcPr>
            <w:tcW w:w="8180" w:type="dxa"/>
            <w:vAlign w:val="bottom"/>
          </w:tcPr>
          <w:p>
            <w:pPr>
              <w:ind w:left="40"/>
              <w:spacing w:after="0"/>
              <w:rPr>
                <w:sz w:val="20"/>
                <w:szCs w:val="20"/>
                <w:color w:val="auto"/>
              </w:rPr>
            </w:pPr>
            <w:r>
              <w:rPr>
                <w:rFonts w:ascii="Arial" w:cs="Arial" w:eastAsia="Arial" w:hAnsi="Arial"/>
                <w:sz w:val="20"/>
                <w:szCs w:val="20"/>
                <w:color w:val="auto"/>
              </w:rPr>
              <w:t>Richard A. O'Leary</w:t>
            </w:r>
          </w:p>
        </w:tc>
      </w:tr>
      <w:tr>
        <w:trPr>
          <w:trHeight w:val="284"/>
        </w:trPr>
        <w:tc>
          <w:tcPr>
            <w:tcW w:w="740" w:type="dxa"/>
            <w:vAlign w:val="bottom"/>
          </w:tcPr>
          <w:p>
            <w:pPr>
              <w:spacing w:after="0"/>
              <w:rPr>
                <w:sz w:val="20"/>
                <w:szCs w:val="20"/>
                <w:color w:val="auto"/>
              </w:rPr>
            </w:pPr>
            <w:r>
              <w:rPr>
                <w:rFonts w:ascii="Arial" w:cs="Arial" w:eastAsia="Arial" w:hAnsi="Arial"/>
                <w:sz w:val="20"/>
                <w:szCs w:val="20"/>
                <w:color w:val="auto"/>
              </w:rPr>
              <w:t>Title:</w:t>
            </w:r>
          </w:p>
        </w:tc>
        <w:tc>
          <w:tcPr>
            <w:tcW w:w="8180" w:type="dxa"/>
            <w:vAlign w:val="bottom"/>
          </w:tcPr>
          <w:p>
            <w:pPr>
              <w:ind w:left="40"/>
              <w:spacing w:after="0"/>
              <w:rPr>
                <w:sz w:val="20"/>
                <w:szCs w:val="20"/>
                <w:color w:val="auto"/>
              </w:rPr>
            </w:pPr>
            <w:r>
              <w:rPr>
                <w:rFonts w:ascii="Arial" w:cs="Arial" w:eastAsia="Arial" w:hAnsi="Arial"/>
                <w:sz w:val="20"/>
                <w:szCs w:val="20"/>
                <w:color w:val="auto"/>
              </w:rPr>
              <w:t>Executive Vice President and Chief Financial Officer</w:t>
            </w:r>
          </w:p>
        </w:tc>
      </w:tr>
    </w:tbl>
    <w:p>
      <w:pPr>
        <w:sectPr>
          <w:pgSz w:w="11900" w:h="16838" w:orient="portrait"/>
          <w:cols w:equalWidth="0" w:num="1">
            <w:col w:w="11420"/>
          </w:cols>
          <w:pgMar w:left="240" w:top="582"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375" w:lineRule="exact"/>
        <w:rPr>
          <w:sz w:val="20"/>
          <w:szCs w:val="20"/>
          <w:color w:val="auto"/>
        </w:rPr>
      </w:pPr>
    </w:p>
    <w:p>
      <w:pPr>
        <w:ind w:right="300"/>
        <w:spacing w:after="0" w:line="263" w:lineRule="auto"/>
        <w:rPr>
          <w:sz w:val="20"/>
          <w:szCs w:val="20"/>
          <w:color w:val="auto"/>
        </w:rPr>
      </w:pPr>
      <w:r>
        <w:rPr>
          <w:rFonts w:ascii="Arial" w:cs="Arial" w:eastAsia="Arial" w:hAnsi="Arial"/>
          <w:sz w:val="19"/>
          <w:szCs w:val="19"/>
          <w:color w:val="auto"/>
        </w:rPr>
        <w:t>In connection with the Quarterly Report on Form 10-Q of International Flavors &amp; Fragrances Inc. (the "Company") for the quarterly period ended June 30, 2018 as filed with the Securities and Exchange Commission on the date hereof (the "Report"), Andreas Fibig, as Chief Executive Officer, and Richard A. O'Leary, as Chief Financial Officer, each hereby certifies, pursuant to 18 U.S.C. Section 1350, as adopted pursuant to Section 906 of the Sarbanes-Oxley Act of 2002, that, to the best of his knowledge:</w:t>
      </w:r>
    </w:p>
    <w:p>
      <w:pPr>
        <w:spacing w:after="0" w:line="123" w:lineRule="exact"/>
        <w:rPr>
          <w:sz w:val="20"/>
          <w:szCs w:val="20"/>
          <w:color w:val="auto"/>
        </w:rPr>
      </w:pPr>
    </w:p>
    <w:p>
      <w:pPr>
        <w:ind w:right="2080" w:firstLine="8"/>
        <w:spacing w:after="0" w:line="408" w:lineRule="auto"/>
        <w:tabs>
          <w:tab w:leader="none" w:pos="2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 w:lineRule="exact"/>
        <w:rPr>
          <w:rFonts w:ascii="Arial" w:cs="Arial" w:eastAsia="Arial" w:hAnsi="Arial"/>
          <w:sz w:val="20"/>
          <w:szCs w:val="20"/>
          <w:color w:val="auto"/>
        </w:rPr>
      </w:pPr>
    </w:p>
    <w:p>
      <w:pPr>
        <w:ind w:right="500" w:firstLine="8"/>
        <w:spacing w:after="0" w:line="260" w:lineRule="auto"/>
        <w:tabs>
          <w:tab w:leader="none" w:pos="2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85"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Andreas Fibig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wp:posOffset>
            </wp:positionV>
            <wp:extent cx="31559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Andreas Fibig</w:t>
      </w:r>
    </w:p>
    <w:p>
      <w:pPr>
        <w:spacing w:after="0" w:line="54"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0"/>
          <w:szCs w:val="20"/>
          <w:color w:val="auto"/>
        </w:rPr>
        <w:t>Title:</w:t>
        <w:tab/>
        <w:t>Chairman of the Board and Chief Executive Officer</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Dated: August 7, 2018</w:t>
      </w:r>
    </w:p>
    <w:p>
      <w:pPr>
        <w:spacing w:after="0" w:line="189"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Richard A.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wp:posOffset>
            </wp:positionV>
            <wp:extent cx="31559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Richard A. O'Leary</w:t>
      </w:r>
    </w:p>
    <w:p>
      <w:pPr>
        <w:spacing w:after="0" w:line="54"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0"/>
          <w:szCs w:val="20"/>
          <w:color w:val="auto"/>
        </w:rPr>
        <w:t>Title:</w:t>
        <w:tab/>
        <w:t>Executive Vice President and Chief Financial Officer</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Dated: August 7, 2018</w:t>
      </w:r>
    </w:p>
    <w:sectPr>
      <w:pgSz w:w="11900" w:h="16838" w:orient="portrait"/>
      <w:cols w:equalWidth="0" w:num="1">
        <w:col w:w="11420"/>
      </w:cols>
      <w:pgMar w:left="240" w:top="6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Letter"/>
      <w:start w:val="1"/>
    </w:lvl>
  </w:abstractNum>
  <w:abstractNum w:abstractNumId="3">
    <w:nsid w:val="2CA88611"/>
    <w:multiLevelType w:val="hybridMultilevel"/>
    <w:lvl w:ilvl="0">
      <w:lvlJc w:val="left"/>
      <w:lvlText w:val="(%1)"/>
      <w:numFmt w:val="lowerLetter"/>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lowerLetter"/>
      <w:start w:val="2"/>
    </w:lvl>
  </w:abstractNum>
  <w:abstractNum w:abstractNumId="6">
    <w:nsid w:val="3A95F874"/>
    <w:multiLevelType w:val="hybridMultilevel"/>
    <w:lvl w:ilvl="0">
      <w:lvlJc w:val="left"/>
      <w:lvlText w:val="(%1)"/>
      <w:numFmt w:val="lowerLetter"/>
      <w:start w:val="1"/>
    </w:lvl>
    <w:lvl w:ilvl="1">
      <w:lvlJc w:val="left"/>
      <w:lvlText w:val="(%2)"/>
      <w:numFmt w:val="lowerLetter"/>
      <w:start w:val="7"/>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lowerLetter"/>
      <w:start w:val="1"/>
    </w:lvl>
  </w:abstractNum>
  <w:abstractNum w:abstractNumId="16">
    <w:nsid w:val="419AC241"/>
    <w:multiLevelType w:val="hybridMultilevel"/>
    <w:lvl w:ilvl="0">
      <w:lvlJc w:val="left"/>
      <w:lvlText w:val="(%1)"/>
      <w:numFmt w:val="lowerLetter"/>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lvl w:ilvl="1">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lvl w:ilvl="1">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lowerLetter"/>
      <w:start w:val="9"/>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upperLetter"/>
      <w:start w:val="1"/>
    </w:lvl>
    <w:lvl w:ilvl="1">
      <w:lvlJc w:val="left"/>
      <w:lvlText w:val="(%2)"/>
      <w:numFmt w:val="decimal"/>
      <w:start w:val="1"/>
    </w:lvl>
  </w:abstractNum>
  <w:abstractNum w:abstractNumId="27">
    <w:nsid w:val="2D517796"/>
    <w:multiLevelType w:val="hybridMultilevel"/>
    <w:lvl w:ilvl="0">
      <w:lvlJc w:val="left"/>
      <w:lvlText w:val="%1."/>
      <w:numFmt w:val="upperLetter"/>
      <w:start w:val="3"/>
    </w:lvl>
    <w:lvl w:ilvl="1">
      <w:lvlJc w:val="left"/>
      <w:lvlText w:val="%2"/>
      <w:numFmt w:val="decimal"/>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2"/>
    </w:lvl>
  </w:abstractNum>
  <w:abstractNum w:abstractNumId="34">
    <w:nsid w:val="1D4ED43B"/>
    <w:multiLevelType w:val="hybridMultilevel"/>
    <w:lvl w:ilvl="0">
      <w:lvlJc w:val="left"/>
      <w:lvlText w:val="%1"/>
      <w:numFmt w:val="decimal"/>
      <w:start w:val="32"/>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1"/>
    </w:lvl>
    <w:lvl w:ilvl="1">
      <w:lvlJc w:val="left"/>
      <w:lvlText w:val="%2."/>
      <w:numFmt w:val="decimal"/>
      <w:start w:val="1"/>
    </w:lvl>
  </w:abstractNum>
  <w:abstractNum w:abstractNumId="37">
    <w:nsid w:val="57E4CCAF"/>
    <w:multiLevelType w:val="hybridMultilevel"/>
    <w:lvl w:ilvl="0">
      <w:lvlJc w:val="left"/>
      <w:lvlText w:val="%1."/>
      <w:numFmt w:val="decimal"/>
      <w:start w:val="2"/>
    </w:lvl>
    <w:lvl w:ilvl="1">
      <w:lvlJc w:val="left"/>
      <w:lvlText w:val="%2."/>
      <w:numFmt w:val="decimal"/>
      <w:start w:val="3"/>
    </w:lvl>
  </w:abstractNum>
  <w:abstractNum w:abstractNumId="38">
    <w:nsid w:val="7A6D8D3C"/>
    <w:multiLevelType w:val="hybridMultilevel"/>
    <w:lvl w:ilvl="0">
      <w:lvlJc w:val="left"/>
      <w:lvlText w:val="%1"/>
      <w:numFmt w:val="lowerLetter"/>
      <w:start w:val="1"/>
    </w:lvl>
    <w:lvl w:ilvl="1">
      <w:lvlJc w:val="left"/>
      <w:lvlText w:val="(%2)"/>
      <w:numFmt w:val="lowerLetter"/>
      <w:start w:val="1"/>
    </w:lvl>
  </w:abstractNum>
  <w:abstractNum w:abstractNumId="39">
    <w:nsid w:val="4B588F54"/>
    <w:multiLevelType w:val="hybridMultilevel"/>
    <w:lvl w:ilvl="0">
      <w:lvlJc w:val="left"/>
      <w:lvlText w:val="(%1)"/>
      <w:numFmt w:val="lowerLetter"/>
      <w:start w:val="2"/>
    </w:lvl>
    <w:lvl w:ilvl="1">
      <w:lvlJc w:val="left"/>
      <w:lvlText w:val="%2"/>
      <w:numFmt w:val="lowerLetter"/>
      <w:start w:val="1"/>
    </w:lvl>
  </w:abstractNum>
  <w:abstractNum w:abstractNumId="40">
    <w:nsid w:val="542289EC"/>
    <w:multiLevelType w:val="hybridMultilevel"/>
    <w:lvl w:ilvl="0">
      <w:lvlJc w:val="left"/>
      <w:lvlText w:val="%1"/>
      <w:numFmt w:val="decimal"/>
      <w:start w:val="1"/>
    </w:lvl>
    <w:lvl w:ilvl="1">
      <w:lvlJc w:val="left"/>
      <w:lvlText w:val="%2."/>
      <w:numFmt w:val="decimal"/>
      <w:start w:val="4"/>
    </w:lvl>
  </w:abstractNum>
  <w:abstractNum w:abstractNumId="41">
    <w:nsid w:val="6DE91B18"/>
    <w:multiLevelType w:val="hybridMultilevel"/>
    <w:lvl w:ilvl="0">
      <w:lvlJc w:val="left"/>
      <w:lvlText w:val="%1."/>
      <w:numFmt w:val="decimal"/>
      <w:start w:val="5"/>
    </w:lvl>
    <w:lvl w:ilvl="1">
      <w:lvlJc w:val="left"/>
      <w:lvlText w:val="%2"/>
      <w:numFmt w:val="decimal"/>
      <w:start w:val="1"/>
    </w:lvl>
  </w:abstractNum>
  <w:abstractNum w:abstractNumId="42">
    <w:nsid w:val="38437FD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3">
    <w:nsid w:val="7644A45C"/>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44">
    <w:nsid w:val="32FFF902"/>
    <w:multiLevelType w:val="hybridMultilevel"/>
    <w:lvl w:ilvl="0">
      <w:lvlJc w:val="left"/>
      <w:lvlText w:val="(%1)"/>
      <w:numFmt w:val="lowerLetter"/>
      <w:start w:val="2"/>
    </w:lvl>
  </w:abstractNum>
  <w:abstractNum w:abstractNumId="45">
    <w:nsid w:val="684A481A"/>
    <w:multiLevelType w:val="hybridMultilevel"/>
    <w:lvl w:ilvl="0">
      <w:lvlJc w:val="left"/>
      <w:lvlText w:val="(%1)"/>
      <w:numFmt w:val="lowerLetter"/>
      <w:start w:val="3"/>
    </w:lvl>
  </w:abstractNum>
  <w:abstractNum w:abstractNumId="46">
    <w:nsid w:val="579478FE"/>
    <w:multiLevelType w:val="hybridMultilevel"/>
    <w:lvl w:ilvl="0">
      <w:lvlJc w:val="left"/>
      <w:lvlText w:val="%1"/>
      <w:numFmt w:val="decimal"/>
      <w:start w:val="1"/>
    </w:lvl>
    <w:lvl w:ilvl="1">
      <w:lvlJc w:val="left"/>
      <w:lvlText w:val="%2."/>
      <w:numFmt w:val="decimal"/>
      <w:start w:val="4"/>
    </w:lvl>
  </w:abstractNum>
  <w:abstractNum w:abstractNumId="47">
    <w:nsid w:val="749ABB43"/>
    <w:multiLevelType w:val="hybridMultilevel"/>
    <w:lvl w:ilvl="0">
      <w:lvlJc w:val="left"/>
      <w:lvlText w:val="%1."/>
      <w:numFmt w:val="decimal"/>
      <w:start w:val="5"/>
    </w:lvl>
    <w:lvl w:ilvl="1">
      <w:lvlJc w:val="left"/>
      <w:lvlText w:val="%2"/>
      <w:numFmt w:val="decimal"/>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49" Type="http://schemas.openxmlformats.org/officeDocument/2006/relationships/hyperlink" Target="http://www.sec.gov/Archives/edgar/data/51253/000119312518157733/d541104dex21.htm" TargetMode="External"/><Relationship Id="rId50" Type="http://schemas.openxmlformats.org/officeDocument/2006/relationships/hyperlink" Target="http://www.sec.gov/Archives/edgar/data/51253/000119312518149484/d582266dex3ii.htm" TargetMode="External"/><Relationship Id="rId51" Type="http://schemas.openxmlformats.org/officeDocument/2006/relationships/hyperlink" Target="http://www.sec.gov/Archives/edgar/data/51253/000119312518157733/d541104dex101.htm" TargetMode="External"/><Relationship Id="rId52" Type="http://schemas.openxmlformats.org/officeDocument/2006/relationships/hyperlink" Target="http://www.sec.gov/Archives/edgar/data/51253/000119312518173622/d586040dex101.htm" TargetMode="External"/><Relationship Id="rId53" Type="http://schemas.openxmlformats.org/officeDocument/2006/relationships/hyperlink" Target="http://www.sec.gov/Archives/edgar/data/51253/000119312518188155/d599355dex102.htm" TargetMode="External"/><Relationship Id="rId54" Type="http://schemas.openxmlformats.org/officeDocument/2006/relationships/hyperlink" Target="http://www.sec.gov/Archives/edgar/data/51253/000119312518188155/d59935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2019-12-28T20:15:13Z</dcterms:created>
  <dcterms:modified xsi:type="dcterms:W3CDTF">2019-12-28T20:15:13Z</dcterms:modified>
</cp:coreProperties>
</file>