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1" w:lineRule="exact"/>
        <w:rPr>
          <w:sz w:val="24"/>
          <w:szCs w:val="24"/>
          <w:color w:val="auto"/>
        </w:rPr>
      </w:pPr>
    </w:p>
    <w:p>
      <w:pPr>
        <w:sectPr>
          <w:pgSz w:w="11900" w:h="16838" w:orient="portrait"/>
          <w:cols w:equalWidth="0" w:num="2">
            <w:col w:w="7420" w:space="720"/>
            <w:col w:w="328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420"/>
          </w:cols>
          <w:pgMar w:left="240" w:top="733" w:right="23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auto"/>
        </w:rPr>
        <w:t>521 West 57th Street, New York, N.Y. 10019-2960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733"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20" w:firstLine="4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733" w:right="23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90" w:lineRule="exact"/>
        <w:rPr>
          <w:sz w:val="24"/>
          <w:szCs w:val="24"/>
          <w:color w:val="auto"/>
        </w:rPr>
      </w:pPr>
    </w:p>
    <w:p>
      <w:pPr>
        <w:sectPr>
          <w:pgSz w:w="11900" w:h="16838" w:orient="portrait"/>
          <w:cols w:equalWidth="0" w:num="4">
            <w:col w:w="1660" w:space="680"/>
            <w:col w:w="5420" w:space="720"/>
            <w:col w:w="2000" w:space="720"/>
            <w:col w:w="220"/>
          </w:cols>
          <w:pgMar w:left="240" w:top="7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w:t>
      </w:r>
    </w:p>
    <w:p>
      <w:pPr>
        <w:spacing w:after="0" w:line="171" w:lineRule="exact"/>
        <w:rPr>
          <w:sz w:val="24"/>
          <w:szCs w:val="24"/>
          <w:color w:val="auto"/>
        </w:rPr>
      </w:pPr>
    </w:p>
    <w:p>
      <w:pPr>
        <w:sectPr>
          <w:pgSz w:w="11900" w:h="16838" w:orient="portrait"/>
          <w:cols w:equalWidth="0" w:num="4">
            <w:col w:w="1620" w:space="720"/>
            <w:col w:w="5420" w:space="720"/>
            <w:col w:w="2000" w:space="720"/>
            <w:col w:w="220"/>
          </w:cols>
          <w:pgMar w:left="240" w:top="7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4">
            <w:col w:w="8180" w:space="240"/>
            <w:col w:w="260" w:space="120"/>
            <w:col w:w="380" w:space="80"/>
            <w:col w:w="216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 outstanding as of July 26, 2016: 79,591,844</w:t>
      </w:r>
    </w:p>
    <w:p>
      <w:pPr>
        <w:sectPr>
          <w:pgSz w:w="11900" w:h="16838" w:orient="portrait"/>
          <w:cols w:equalWidth="0" w:num="1">
            <w:col w:w="11420"/>
          </w:cols>
          <w:pgMar w:left="240" w:top="733"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2016</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2015</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181,988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$9,425 and $8,229, respectively)</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621,164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537,896</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265,209</w:t>
            </w: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17,450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291,745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289,388</w:t>
            </w: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584,489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572,047</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145,178</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1,929,434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1,437,109</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1,812,283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(1,113,003)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(1,079,489)</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737,353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732,794</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940,544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941,389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306,004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139,023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166,323</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119,437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118,391</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4,154,628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3,702,010</w:t>
            </w:r>
          </w:p>
        </w:tc>
      </w:tr>
      <w:tr>
        <w:trPr>
          <w:trHeight w:val="73"/>
        </w:trPr>
        <w:tc>
          <w:tcPr>
            <w:tcW w:w="76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74"/>
        </w:trPr>
        <w:tc>
          <w:tcPr>
            <w:tcW w:w="76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132,349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255,143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285,501</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payroll and bonus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48,843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Dividends payable</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44,588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44,824</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205,994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213,639</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688,251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725,156</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1,357,684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935,373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41,630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43,260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242,383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144,908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160,849</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1,381,865</w:t>
            </w: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2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4"/>
              </w:rPr>
              <w:t>Common stock 12 1/2¢ par value; authorized 500,000,000 shares; issued 115,858,190 shares as of June 30,</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5"/>
              </w:rPr>
              <w:t>2016 and December 31, 2015 and outstanding 79,640,930 and 80,022,291 shares as of June 30, 2016 and</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December 31, 2015</w:t>
            </w:r>
          </w:p>
        </w:tc>
        <w:tc>
          <w:tcPr>
            <w:tcW w:w="2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140,802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3,750,364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3,604,254</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(613,440)</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4"/>
              </w:rPr>
              <w:t>Treasury stock, at cost - 36,217,260 shares as of June 30, 2016 and 35,835,899 shares as of December 31,</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(1,623,007)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(1,555,769)</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1,673,872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1,590,317</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4,672</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1,594,989</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4,154,628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3,702,010</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793,478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767,541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1,576,789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1,542,448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427,837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422,501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850,940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851,131</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365,641</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345,040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691,317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63,252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62,514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126,637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125,976</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132,784</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256,327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5,130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4,880</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164,475</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148,821</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331,694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310,613</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(2,635)</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(5,275)</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152,050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293,386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35,317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31,604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71,610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59,754</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116,733</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105,374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235,337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233,632</w:t>
            </w: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(32,958)</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6,117</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11,023</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17,067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(15,818)</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115,422</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122,441</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240,467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217,814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2.86</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79,764</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80,790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79,809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80,729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80,040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81,192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80,141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81,201</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r>
      <w:tr>
        <w:trPr>
          <w:trHeight w:val="27"/>
        </w:trPr>
        <w:tc>
          <w:tcPr>
            <w:tcW w:w="5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235,337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233,632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49,743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41,041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17,891</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loss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12,860</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(57,493)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(70,361)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(92,329)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27,334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21,305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5,505</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166,318</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(188,835)</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(37,937)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9,735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(214,974)</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(75,927)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(30,283)</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86,162</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Loss on pre-issuance hedges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11,608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253,125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(46,967)</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358,004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(101,319)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181,988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478,573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539,992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377,254</w:t>
            </w:r>
          </w:p>
        </w:tc>
      </w:tr>
      <w:tr>
        <w:trPr>
          <w:trHeight w:val="67"/>
        </w:trPr>
        <w:tc>
          <w:tcPr>
            <w:tcW w:w="77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23,827</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52,719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46,071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2015 Annual Report on Form 10-K (“2015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June 30 and December 31 are used consistently throughout this Form 10-Q and these interim financial statements and related notes to represent the period-end dates. For the 2016 and 2015 quarters, the actual closing dates were July 1, and July 3,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with current year presentation.</w:t>
      </w:r>
    </w:p>
    <w:p>
      <w:pPr>
        <w:spacing w:after="0" w:line="252"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Consolidated Balance Sheet as of December 31, 2015, has been revised to properly reflect in-bound goods in transit. Accordingly, Inventory and Accounts payable decreased by $17.0 million. In addition, an adjustment has been made to two line items within net cash provided by operating activities for the 2015 Consolidated Statement of Cash Flows to reflect the previously recorded correction of a balance sheet classification associated with accounts payable and accruals. These adjustments were not material to the Consolidated Statement of Cash Flows.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March 2016, the Financial Accounting Standards Board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will be effective for annual and interim periods beginning after December 15, 2016. Early adoption will be permitted for all entities. Among other changes, the standard requires that employee taxes paid when an employer withholds shares be presented in the Consolidated Statement of Cash Flows as a financing activity instead of an operating activity. The Company expects to adopt this change retroactively and that the impact on the Consolidated Statement of Cash Flows will be approximately $20-$25 million on an annual basis. The Company is currently evaluating the other changes required by the standard.</w:t>
      </w:r>
    </w:p>
    <w:p>
      <w:pPr>
        <w:spacing w:after="0" w:line="12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February 2016, the FASB issued authoritative guidance which requires changes to the accounting for leases. The new guidance establishes a new lease accounting model, that, for all companies,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 result in significant increases to assets and liabilities on its Consolidated Balance Sheet and is still evaluating the impact on its Consolidated Statement of Comprehensive Income.</w:t>
      </w:r>
    </w:p>
    <w:p>
      <w:pPr>
        <w:spacing w:after="0" w:line="134"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In September 2015, the FASB issued authoritative guidance relating to the adjustments made during the measurement period for items in a business combination. Specifically, the new guidance requires adjustments related to the finalization of estimates to be recorded in the period when they are determined and to provide certain additional disclosures. This guidance is effective for fiscal years beginning after December 15, 2015. The Company adopted this guidance during 2016 and the adoption did not have a significant impact on its consolidated financial statements.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adopted this guidance retroactively in 2016 and accordingly has reclassified all debt issuance costs on long-term debt as a direct deduction from the carrying amount of the debt liability in the Consolidated Balance Sheet as of December 31, 2015. The adoption of this guidance did not have a significant impact on its consolidated financial statements.</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ind w:firstLine="405"/>
        <w:spacing w:after="0" w:line="259"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and made subsequent clarifications under the new requirements during May 2016. The guidance is applicable to all entities and is effective for annual and interim periods beginning after December 15, 2017. Adoption as of the original effective date is permitted. The Company is currently evaluating the impact that this new standard will have on its consolidated financial statements.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from operations from participating in these programs increased approximately $17.7 million for the six months ended June 30, 2016 compared to an increase of approximately $1.3 million for the six months ended June 30, 2015. The cost of participating in these programs was immaterial to our results in all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(SHARES IN THOUSANDS)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22"/>
                <w:szCs w:val="22"/>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79,764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80,790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79,809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80,729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92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472</w:t>
            </w:r>
          </w:p>
        </w:tc>
      </w:tr>
      <w:tr>
        <w:trPr>
          <w:trHeight w:val="27"/>
        </w:trPr>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80,040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81,192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80,141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81,201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An immaterial amount of stock-settled appreciation rights (“SSARs”) were excluded from the computation of diluted net income per share for the three and six months ended June 30, 2016. There were no stock options or SSARs excluded from the 2015 periods.</w:t>
      </w:r>
    </w:p>
    <w:p>
      <w:pPr>
        <w:spacing w:after="0" w:line="116"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Company has issued shares of purchased restricted common stock (“PRS”)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 shareholders was less than $0.01 per share for each period presented, and the number of PRS outstanding as of June 30, 2016 and 2015 was immaterial. Net income allocated to such PRS was $0.3 million and $0.5 million for the three months ended June 30, 2016 and 2015, respectively and $0.5 million and $1.1 million during the six months ended June 30, 2016 and 2015,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Lucas Meyer</w:t>
      </w:r>
    </w:p>
    <w:p>
      <w:pPr>
        <w:spacing w:after="0" w:line="9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During the third quarter of 2015, the Company completed the acquisition of 100% of the outstanding shares of Lucas Meyer Cosmetics, a business of Unipex Group ("Lucas Meyer"). The total shares acquired include shares effectively acquired pursuant to put and call option agreements. The acquisition was accounted for under the purchase method. Total consideration was approximately Euro 284.0 million ($312.1 million), including approximately $4.8 million of cash acquired. The Company paid Euro 282.1 million (approximately $309.9 million) for the acquisition, which was funded from existing resources, and recorded a liability of approximately Euro 2.0 million (approximately $2.2 million) for shares to be purchased under the put and call option agreements. The purchase price exceeded the fair value of existing net assets by approximately $290.1 million. The excess was allocated principally to identifiable intangible assets (approximately $156.4 million), goodwill (approximately $179.5 million) and approximately $38.1 million to deferred taxes. Goodwill represents the excess of the purchase price over the fair value of net assets acquired. Separately identifiable intangible assets are principally related to customer relationships, proprietary technology and patents. The intangible assets are being amortized over the following estimated useful lives: trade names and proprietary technology, 28 years; customer relationships, 23 years; patents, 11 years; and non-solicitation agreements, 3 years.</w:t>
      </w:r>
    </w:p>
    <w:p>
      <w:pPr>
        <w:spacing w:after="0" w:line="115" w:lineRule="exact"/>
        <w:rPr>
          <w:sz w:val="20"/>
          <w:szCs w:val="20"/>
          <w:color w:val="auto"/>
        </w:rPr>
      </w:pPr>
    </w:p>
    <w:p>
      <w:pPr>
        <w:ind w:right="1120" w:firstLine="324"/>
        <w:spacing w:after="0" w:line="277" w:lineRule="auto"/>
        <w:rPr>
          <w:sz w:val="20"/>
          <w:szCs w:val="20"/>
          <w:color w:val="auto"/>
        </w:rPr>
      </w:pPr>
      <w:r>
        <w:rPr>
          <w:rFonts w:ascii="Arial" w:cs="Arial" w:eastAsia="Arial" w:hAnsi="Arial"/>
          <w:sz w:val="18"/>
          <w:szCs w:val="18"/>
          <w:color w:val="auto"/>
        </w:rPr>
        <w:t>No pro forma financial information for 2016 is presented as the impact of the acquisition was immaterial to the Consolidated Statement of Comprehensive Income. During the second quarter of 2016, the purchase price allocation was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46" w:right="25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updated, however, none of the changes were material to the consolidated financial statements. The purchase price allocation was completed during the second quarter of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Ottens Flavors</w:t>
      </w:r>
    </w:p>
    <w:p>
      <w:pPr>
        <w:spacing w:after="0" w:line="17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During the second quarter of 2015, the Company completed the acquisition of 100% of the outstanding shares of Henry H. Ottens Manufacturing Co., Inc. ("Ottens Flavors"). The acquisition was accounted for under the purchase method. The Company paid $198.9 million (including $10.4 million of cash acquired) for this acquisition, which was funded from existing resources. The purchase price allocation was completed during the fourth quarter of 2015. No pro forma financial information for 2016 is presented as the impact of the acquisition was not material to the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During the fourth quarter of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in the fourth quarter of 2015, the Company recorded a pre-tax charge of $7.6 million, included in restructuring and other charges, net, related to severance and related costs pertaining to approximately 150 positions that will be affected. During the second quarter of 2016, the Company made payments of $1.4 million and recorded accelerated depreciation expense of $0.3 million. The total cost of the plan is expected to be approximately $10.5 million with the remaining charges relating principally to accelerated depreciation. The Company expects the plan to be fully implemented in the second half of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8"/>
          </w:tcPr>
          <w:p>
            <w:pPr>
              <w:ind w:left="420"/>
              <w:spacing w:after="0"/>
              <w:rPr>
                <w:sz w:val="20"/>
                <w:szCs w:val="20"/>
                <w:color w:val="auto"/>
              </w:rPr>
            </w:pPr>
            <w:r>
              <w:rPr>
                <w:rFonts w:ascii="Arial" w:cs="Arial" w:eastAsia="Arial" w:hAnsi="Arial"/>
                <w:sz w:val="18"/>
                <w:szCs w:val="18"/>
                <w:color w:val="auto"/>
              </w:rPr>
              <w:t>Changes in employee-related restructuring liabilities during the six months ended June 30, 2016, were as follows: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1"/>
              </w:rPr>
              <w:t>Employee-Related Costs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6"/>
              </w:rPr>
              <w:t>Accelerated Depreciation</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380" w:type="dxa"/>
            <w:vAlign w:val="bottom"/>
          </w:tcPr>
          <w:p>
            <w:pPr>
              <w:spacing w:after="0"/>
              <w:rPr>
                <w:sz w:val="21"/>
                <w:szCs w:val="21"/>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360" w:type="dxa"/>
            <w:vAlign w:val="bottom"/>
            <w:gridSpan w:val="2"/>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3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Payments and other costs</w:t>
            </w:r>
          </w:p>
        </w:tc>
        <w:tc>
          <w:tcPr>
            <w:tcW w:w="3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Note 5. Goodwill and Other Intangible Assets,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gridSpan w:val="2"/>
          </w:tcPr>
          <w:p>
            <w:pPr>
              <w:ind w:left="440"/>
              <w:spacing w:after="0"/>
              <w:rPr>
                <w:sz w:val="20"/>
                <w:szCs w:val="20"/>
                <w:color w:val="auto"/>
              </w:rPr>
            </w:pPr>
            <w:r>
              <w:rPr>
                <w:rFonts w:ascii="Arial" w:cs="Arial" w:eastAsia="Arial" w:hAnsi="Arial"/>
                <w:sz w:val="18"/>
                <w:szCs w:val="18"/>
                <w:color w:val="auto"/>
                <w:w w:val="94"/>
              </w:rPr>
              <w:t>Movements in goodwill during 2016 were as follows: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Goodwill</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941,389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3,229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3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940,544</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decrease reflected in Other above is the impact of finalizing the purchase price allocation of Lucas Meyer as disclosed in Note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net consist of the following amounts: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289,743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293,799</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34,182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3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111,808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112,393</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22,711</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carrying value</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457,177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463,085</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(66,324)</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(65,258)</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(157,081)</w:t>
            </w:r>
          </w:p>
        </w:tc>
      </w:tr>
      <w:tr>
        <w:trPr>
          <w:trHeight w:val="27"/>
        </w:trPr>
        <w:tc>
          <w:tcPr>
            <w:tcW w:w="7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288,837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306,004</w:t>
            </w:r>
          </w:p>
        </w:tc>
      </w:tr>
      <w:tr>
        <w:trPr>
          <w:trHeight w:val="27"/>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Amortization expense was $5.1 million and $3.0 million for the three months ended June 30, 2016 and 2015, respectively and $11.2 million and $4.9 million for the six months ended June 30, 2016 and 2015, respectively. Annual amortization is expected to be $21.8 million for the full year 2016, $21.4 million for the year 2017, $21.2 million for the year 2018, $20.0 million for the year 2019, $19.3 million for the year 2020 and $15.1 million for the year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Rate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Maturities</w:t>
            </w:r>
          </w:p>
        </w:tc>
        <w:tc>
          <w:tcPr>
            <w:tcW w:w="34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2015</w:t>
            </w:r>
          </w:p>
        </w:tc>
      </w:tr>
      <w:tr>
        <w:trPr>
          <w:trHeight w:val="270"/>
        </w:trPr>
        <w:tc>
          <w:tcPr>
            <w:tcW w:w="4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- 2006 </w:t>
            </w:r>
            <w:r>
              <w:rPr>
                <w:rFonts w:ascii="Arial" w:cs="Arial" w:eastAsia="Arial" w:hAnsi="Arial"/>
                <w:sz w:val="25"/>
                <w:szCs w:val="25"/>
                <w:color w:val="auto"/>
                <w:vertAlign w:val="superscript"/>
              </w:rPr>
              <w:t>(1)</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124,991</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124,964</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- 2007 </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2017-27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499,618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499,618</w:t>
            </w: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- 2013 </w:t>
            </w:r>
            <w:r>
              <w:rPr>
                <w:rFonts w:ascii="Arial" w:cs="Arial" w:eastAsia="Arial" w:hAnsi="Arial"/>
                <w:sz w:val="25"/>
                <w:szCs w:val="25"/>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297,846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297,683</w:t>
            </w: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550,598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131,196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15,791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10,982</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1,491,157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1,067,722</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(132,349)</w:t>
            </w:r>
          </w:p>
        </w:tc>
      </w:tr>
      <w:tr>
        <w:trPr>
          <w:trHeight w:val="237"/>
        </w:trPr>
        <w:tc>
          <w:tcPr>
            <w:tcW w:w="4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1,357,684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935,373</w:t>
            </w:r>
          </w:p>
        </w:tc>
      </w:tr>
      <w:tr>
        <w:trPr>
          <w:trHeight w:val="27"/>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 is net of unamortized discount and debt issuance costs.</w:t>
      </w:r>
    </w:p>
    <w:p>
      <w:pPr>
        <w:spacing w:after="0" w:line="14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March 14, 2016, the Company issued Euro 500.0 million face amount of 1.75% Senior Notes ("Euro Senior Notes - 2016") due 2024 at a discount of Euro 0.9 million. The Company received proceeds related to the issuance of these Euro Senior Notes - 2016 of Euro 496.0 million which was net of the Euro 0.9 million discount and Euro 3.1 million underwriting discount (recorded as deferred financing costs). In addition, the Company incurred $1.3 million of other deferred financing costs in connection with the debt issuance. In connection with the debt issuance, the Company entered into pre-issuance hedging transactions that were settled upon issuance of the debt and resulted in a loss of approximately $3.2 million as of June 30, 2016. The discount, deferred financing costs and pre-issuance hedge loss are being amortized as interest expense over the 8 year term of the debt. The Euro Senior Notes - 2016 bear interest at a rate of 1.75% per annum, with interest payable on March 14 of each year, commencing on March 14, 2017. The Euro Senior Notes - 2016 will mature on March 14, 2024.</w:t>
      </w:r>
    </w:p>
    <w:p>
      <w:pPr>
        <w:spacing w:after="0" w:line="13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Upon 30 days’ notice to holders of the Euro Senior Notes - 2016 , the Company may redeem the Euro Senior Notes - 2016 for cash in whole, at any time, or in part, from time to time, prior to maturity, at redemption prices that include accrued and unpaid interest and a make-whole premium, as specified in the indenture governing the Euro Senior Notes - 2016. However, no make-whole premium will be paid for redemptions of the Euro Senior Notes - 2016 on or after December 14, 2023. The indenture provides for customary events of default and contains certain negative covenants that limit the ability of</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6" w:right="259" w:bottom="1440" w:gutter="0" w:footer="0" w:header="0"/>
        </w:sectPr>
      </w:pPr>
    </w:p>
    <w:bookmarkStart w:id="8" w:name="page9"/>
    <w:bookmarkEnd w:id="8"/>
    <w:p>
      <w:pPr>
        <w:ind w:right="80"/>
        <w:spacing w:after="0" w:line="257" w:lineRule="auto"/>
        <w:rPr>
          <w:sz w:val="20"/>
          <w:szCs w:val="20"/>
          <w:color w:val="auto"/>
        </w:rPr>
      </w:pPr>
      <w:r>
        <w:rPr>
          <w:rFonts w:ascii="Arial" w:cs="Arial" w:eastAsia="Arial" w:hAnsi="Arial"/>
          <w:sz w:val="18"/>
          <w:szCs w:val="18"/>
          <w:color w:val="auto"/>
        </w:rPr>
        <w:t>the Company and its subsidiaries to grant liens on assets, or to enter into sale-leaseback transactions. In addition, subject to certain limitations, in the event of the occurrence of both (1) a change of control of the Company and (2) a downgrade of the Euro Senior Notes - 2016 below investment grade rating by both Moody’s Investors Services, Inc. and Standard &amp; Poor’s Ratings Services within a specified time period, the Company will be required to make an offer to repurchase the Notes at a price equal to 101% of the principal amount of the Euro Senior Notes - 2016, plus accrued and unpaid interest to the date of repurchase.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11, the Euro Senior Notes - 2016 have been designated as a hedge of the Company's net investment in certain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July 12, 2016, the Company made a payment of $125.0 million related to our Senior Notes - 2006.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June 30, 2016, the Company had $25.1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2016, the Company had accrued interest and penalties of $0.9 million classified in Other liabilities.</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June 30, 2016, the Company’s aggregate provisions for uncertain tax positions, including interest and penalties, was$26.0 million associated with various tax positions asserted in foreign jurisdictions, none of which is individually material.</w:t>
      </w:r>
    </w:p>
    <w:p>
      <w:pPr>
        <w:spacing w:after="0" w:line="116"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2006 to 2015.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effective tax rate for the three months ended June 30, 2016 was 23.2% compared with 23.1% for the three months ended June 30, 2015. The quarter-over-quarter increase was largely due to higher loss provisions partially offset by lower cost of repatriation. The effective tax rate for the six months ended June 30, 2016 was 23.3% compared with 20.4% for the six months ended June 30, 2015. The year-over-year increase was primarily due to a benefit of $10.5 million recorded in the first quarter of 2015, as a result of favorable tax rulings in Spain and another jurisdiction for which reserves were previously recorded and higher loss provisions in 2016, partially offset by lower cost of repatriation in the 2016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has various plans under which its officers, senior management, other key employees and directors may be granted equity-based awards. Equity awards outstanding under the plans include PRS, purchased restricted stock units, restricted stock units ("RSUs"), stock options, SSARs and Long-Term Incentive Plan awards; liability-based awards outstanding under the plans are cash-settled RSUs.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2,573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75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379,504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372,478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752,012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749,586</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413,974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824,777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792,862</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793,478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767,541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1,576,789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1,542,448</w:t>
            </w:r>
          </w:p>
        </w:tc>
      </w:tr>
      <w:tr>
        <w:trPr>
          <w:trHeight w:val="67"/>
        </w:trPr>
        <w:tc>
          <w:tcPr>
            <w:tcW w:w="44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90,337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84,015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182,151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176,743</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161,522</w:t>
            </w: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(20,194)</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other charges, net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and related costs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(7,066)</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Spanish capital tax settlement </w:t>
            </w:r>
            <w:r>
              <w:rPr>
                <w:rFonts w:ascii="Arial" w:cs="Arial" w:eastAsia="Arial" w:hAnsi="Arial"/>
                <w:sz w:val="25"/>
                <w:szCs w:val="25"/>
                <w:color w:val="auto"/>
                <w:vertAlign w:val="superscript"/>
              </w:rPr>
              <w:t>(4)</w:t>
            </w:r>
          </w:p>
        </w:tc>
        <w:tc>
          <w:tcPr>
            <w:tcW w:w="3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310,613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(22,502)</w:t>
            </w:r>
          </w:p>
        </w:tc>
      </w:tr>
      <w:tr>
        <w:trPr>
          <w:trHeight w:val="27"/>
        </w:trPr>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5,275</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152,050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136,978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306,947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293,386</w:t>
            </w: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and other charges, net relate to accelerated depreciation costs in Europe recorded in Cost of goods sold.</w:t>
      </w:r>
    </w:p>
    <w:p>
      <w:pPr>
        <w:spacing w:after="0" w:line="23"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related costs are associated with the 2015 acquisition of Lucas Meyer as discussed in Note 3, including inventory step-up charges related to the inventory acquired.</w:t>
      </w:r>
    </w:p>
    <w:p>
      <w:pPr>
        <w:ind w:left="340" w:right="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accelerated depreciation and severance costs in Asia in the 2016 period and accelerated depreciation in the 2015 period.</w:t>
      </w:r>
    </w:p>
    <w:p>
      <w:pPr>
        <w:ind w:left="340" w:right="12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Spanish capital tax settlement represents interest received from the Spanish government related to the reversal of the unfavorable ruling the Spanish capital tax case from 2002, which was reversed during the year ended December 31, 2015.</w:t>
      </w:r>
    </w:p>
    <w:p>
      <w:pPr>
        <w:spacing w:after="0" w:line="13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Net sales are attributed to individual regions based upon the destination of product delivery. Net sales related to the U.S. for the three months ended June 30, 2016 and 2015 were $185 million and $174 million, respectively and for the six months ended June 30, 2016 and 2015 were $365 million and $338 million, respectively. Net sales attributed to all foreign countries in total for the three months ended June 30, 2016 and 2015 were $608 million and $594 million, respectively and for the six months ended June 30, 2016 and 2015 were $1,212 million and $1,204 million, respectively. No country other than the U.S. had net sales in any period presented greater than 10% of total consolidated net sales.</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2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Pr>
          <w:p>
            <w:pPr>
              <w:spacing w:after="0"/>
              <w:rPr>
                <w:sz w:val="24"/>
                <w:szCs w:val="24"/>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12,737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 expects to contribute a total of approximately $30 million to its non-U.S. pension plans during 2016. During the six months ended June 30, 2016, $20.0 million of contributions were made to the qualified U.S. pension plans, $17.3 million of contributions were made to the non U.S. plans and $2.2 million of benefit payments were made with respect to the Company's non-qualified U.S. pension plan.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1,082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2,164</w:t>
            </w: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(2,710)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(1,423)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(income) expense</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2016. In the six months ended June 30, 2016, $2.6 million of contributions were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2015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June 30, 2016.</w:t>
      </w:r>
    </w:p>
    <w:p>
      <w:pPr>
        <w:spacing w:after="0" w:line="1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June 30, 2016 and December 31, 2015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2016</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480" w:type="dxa"/>
            <w:vAlign w:val="bottom"/>
          </w:tcPr>
          <w:p>
            <w:pPr>
              <w:spacing w:after="0"/>
              <w:rPr>
                <w:sz w:val="19"/>
                <w:szCs w:val="19"/>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480" w:type="dxa"/>
            <w:vAlign w:val="bottom"/>
          </w:tcPr>
          <w:p>
            <w:pPr>
              <w:spacing w:after="0"/>
              <w:rPr>
                <w:sz w:val="21"/>
                <w:szCs w:val="21"/>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1"/>
                <w:szCs w:val="21"/>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539,992</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539,992</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181,988</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181,988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142,178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142,178</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124,991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125,225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124,964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127,717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499,618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499,618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563,855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297,846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312,847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297,683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290,830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 Senior notes - 2016</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550,598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584,953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During the six months ended June 30, 2016 and the year ended December 31, 2015,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Eight of these forward currency contracts matured during the six months ended June 30, 2016.</w:t>
      </w:r>
    </w:p>
    <w:p>
      <w:pPr>
        <w:spacing w:after="0" w:line="16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Comprehensive Income.</w:t>
      </w:r>
    </w:p>
    <w:p>
      <w:pPr>
        <w:spacing w:after="0" w:line="166"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During the six months ended June 30, 2016 and the year ended December 31, 2015,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260"/>
        <w:spacing w:after="0" w:line="286" w:lineRule="auto"/>
        <w:rPr>
          <w:sz w:val="20"/>
          <w:szCs w:val="20"/>
          <w:color w:val="auto"/>
        </w:rPr>
      </w:pPr>
      <w:r>
        <w:rPr>
          <w:rFonts w:ascii="Arial" w:cs="Arial" w:eastAsia="Arial" w:hAnsi="Arial"/>
          <w:sz w:val="17"/>
          <w:szCs w:val="17"/>
          <w:color w:val="auto"/>
        </w:rPr>
        <w:t>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11"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During 2015 and 2014, the Company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six months ended June 30, 2016.</w:t>
      </w:r>
    </w:p>
    <w:p>
      <w:pPr>
        <w:spacing w:after="0" w:line="12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Comprehensive Income. The Company incurred a loss of Euro 2.9 million ($3.2 million) due to the termination of these swaps. The loss will be amortized as interest expense over the life of the Euro Senior Notes - 2016 as discussed in Note 6.</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notional amount of the Company’s derivative instruments outstanding as of June 30, 2016 and December 31, 2015: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2015</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805,900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573,200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475,000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30, 2016 and December 31,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332"/>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2015</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six months ended June 30, 2016 and 2015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4"/>
              </w:rPr>
              <w:t>Amount of Gain (Loss)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gridSpan w:val="4"/>
          </w:tcPr>
          <w:p>
            <w:pPr>
              <w:jc w:val="center"/>
              <w:ind w:left="58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5"/>
              </w:rPr>
              <w:t>Derivative</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640" w:type="dxa"/>
            <w:vAlign w:val="bottom"/>
            <w:gridSpan w:val="4"/>
          </w:tcPr>
          <w:p>
            <w:pPr>
              <w:jc w:val="center"/>
              <w:ind w:left="584"/>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560" w:type="dxa"/>
            <w:vAlign w:val="bottom"/>
            <w:tcBorders>
              <w:bottom w:val="single" w:sz="8" w:color="CCEEFF"/>
            </w:tcBorders>
            <w:gridSpan w:val="3"/>
            <w:shd w:val="clear" w:color="auto" w:fill="CCEEFF"/>
          </w:tcPr>
          <w:p>
            <w:pPr>
              <w:jc w:val="right"/>
              <w:ind w:right="1688"/>
              <w:spacing w:after="0"/>
              <w:rPr>
                <w:sz w:val="20"/>
                <w:szCs w:val="20"/>
                <w:color w:val="auto"/>
              </w:rPr>
            </w:pPr>
            <w:r>
              <w:rPr>
                <w:rFonts w:ascii="Arial" w:cs="Arial" w:eastAsia="Arial" w:hAnsi="Arial"/>
                <w:sz w:val="18"/>
                <w:szCs w:val="18"/>
                <w:color w:val="auto"/>
              </w:rPr>
              <w:t>371   Other (income) expense,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3"/>
          </w:tcPr>
          <w:p>
            <w:pPr>
              <w:jc w:val="center"/>
              <w:ind w:right="19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gridSpan w:val="4"/>
          </w:tcPr>
          <w:p>
            <w:pPr>
              <w:jc w:val="center"/>
              <w:ind w:left="58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5"/>
              </w:rPr>
              <w:t>Derivative</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640" w:type="dxa"/>
            <w:vAlign w:val="bottom"/>
            <w:gridSpan w:val="4"/>
          </w:tcPr>
          <w:p>
            <w:pPr>
              <w:jc w:val="center"/>
              <w:ind w:left="564"/>
              <w:spacing w:after="0"/>
              <w:rPr>
                <w:sz w:val="20"/>
                <w:szCs w:val="20"/>
                <w:color w:val="auto"/>
              </w:rPr>
            </w:pPr>
            <w:r>
              <w:rPr>
                <w:rFonts w:ascii="Arial" w:cs="Arial" w:eastAsia="Arial" w:hAnsi="Arial"/>
                <w:sz w:val="14"/>
                <w:szCs w:val="14"/>
                <w:b w:val="1"/>
                <w:bCs w:val="1"/>
                <w:color w:val="auto"/>
                <w:w w:val="92"/>
              </w:rPr>
              <w:t>Six Months Ended June 30,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560" w:type="dxa"/>
            <w:vAlign w:val="bottom"/>
            <w:gridSpan w:val="3"/>
            <w:shd w:val="clear" w:color="auto" w:fill="CCEEFF"/>
          </w:tcPr>
          <w:p>
            <w:pPr>
              <w:jc w:val="right"/>
              <w:ind w:right="1688"/>
              <w:spacing w:after="0"/>
              <w:rPr>
                <w:sz w:val="20"/>
                <w:szCs w:val="20"/>
                <w:color w:val="auto"/>
              </w:rPr>
            </w:pPr>
            <w:r>
              <w:rPr>
                <w:rFonts w:ascii="Arial" w:cs="Arial" w:eastAsia="Arial" w:hAnsi="Arial"/>
                <w:sz w:val="18"/>
                <w:szCs w:val="18"/>
                <w:color w:val="auto"/>
                <w:w w:val="93"/>
              </w:rPr>
              <w:t>10,075   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six months ended June 30, 2016 and 2015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vMerge w:val="restart"/>
          </w:tcPr>
          <w:p>
            <w:pPr>
              <w:jc w:val="center"/>
              <w:ind w:right="130"/>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(Loss) Gain</w:t>
            </w:r>
          </w:p>
        </w:tc>
        <w:tc>
          <w:tcPr>
            <w:tcW w:w="220" w:type="dxa"/>
            <w:vAlign w:val="bottom"/>
          </w:tcPr>
          <w:p>
            <w:pPr>
              <w:spacing w:after="0"/>
              <w:rPr>
                <w:sz w:val="12"/>
                <w:szCs w:val="12"/>
                <w:color w:val="auto"/>
              </w:rPr>
            </w:pPr>
          </w:p>
        </w:tc>
        <w:tc>
          <w:tcPr>
            <w:tcW w:w="226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20" w:type="dxa"/>
            <w:vAlign w:val="bottom"/>
          </w:tcPr>
          <w:p>
            <w:pPr>
              <w:spacing w:after="0"/>
              <w:rPr>
                <w:sz w:val="12"/>
                <w:szCs w:val="12"/>
                <w:color w:val="auto"/>
              </w:rPr>
            </w:pPr>
          </w:p>
        </w:tc>
        <w:tc>
          <w:tcPr>
            <w:tcW w:w="226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3"/>
              </w:rPr>
              <w:t>Portion)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Income (Effective Portion)</w:t>
            </w:r>
          </w:p>
        </w:tc>
        <w:tc>
          <w:tcPr>
            <w:tcW w:w="220" w:type="dxa"/>
            <w:vAlign w:val="bottom"/>
          </w:tcPr>
          <w:p>
            <w:pPr>
              <w:spacing w:after="0"/>
              <w:rPr>
                <w:sz w:val="16"/>
                <w:szCs w:val="16"/>
                <w:color w:val="auto"/>
              </w:rPr>
            </w:pPr>
          </w:p>
        </w:tc>
        <w:tc>
          <w:tcPr>
            <w:tcW w:w="142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93"/>
              </w:rPr>
              <w:t>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4"/>
          </w:tcPr>
          <w:p>
            <w:pPr>
              <w:jc w:val="center"/>
              <w:ind w:right="13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76"/>
        </w:trPr>
        <w:tc>
          <w:tcPr>
            <w:tcW w:w="34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4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1"/>
                <w:szCs w:val="21"/>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w w:val="87"/>
              </w:rPr>
              <w:t>(6,035)</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in Net Investment Hedging</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1,934</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(1,030)</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24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8"/>
                <w:szCs w:val="18"/>
                <w:color w:val="auto"/>
              </w:rPr>
              <w:t>9,649</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12,366</w:t>
            </w: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7"/>
              </w:rPr>
              <w:t>(6,996)</w:t>
            </w:r>
          </w:p>
        </w:tc>
        <w:tc>
          <w:tcPr>
            <w:tcW w:w="2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2,565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vMerge w:val="restart"/>
          </w:tcPr>
          <w:p>
            <w:pPr>
              <w:jc w:val="center"/>
              <w:ind w:right="130"/>
              <w:spacing w:after="0"/>
              <w:rPr>
                <w:sz w:val="20"/>
                <w:szCs w:val="20"/>
                <w:color w:val="auto"/>
              </w:rPr>
            </w:pPr>
            <w:r>
              <w:rPr>
                <w:rFonts w:ascii="Arial" w:cs="Arial" w:eastAsia="Arial" w:hAnsi="Arial"/>
                <w:sz w:val="14"/>
                <w:szCs w:val="14"/>
                <w:b w:val="1"/>
                <w:bCs w:val="1"/>
                <w:color w:val="auto"/>
                <w:w w:val="94"/>
              </w:rPr>
              <w:t>Amount of (Loss) Gain</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(Loss) Gain</w:t>
            </w:r>
          </w:p>
        </w:tc>
        <w:tc>
          <w:tcPr>
            <w:tcW w:w="220" w:type="dxa"/>
            <w:vAlign w:val="bottom"/>
          </w:tcPr>
          <w:p>
            <w:pPr>
              <w:spacing w:after="0"/>
              <w:rPr>
                <w:sz w:val="12"/>
                <w:szCs w:val="12"/>
                <w:color w:val="auto"/>
              </w:rPr>
            </w:pPr>
          </w:p>
        </w:tc>
        <w:tc>
          <w:tcPr>
            <w:tcW w:w="226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220" w:type="dxa"/>
            <w:vAlign w:val="bottom"/>
          </w:tcPr>
          <w:p>
            <w:pPr>
              <w:spacing w:after="0"/>
              <w:rPr>
                <w:sz w:val="12"/>
                <w:szCs w:val="12"/>
                <w:color w:val="auto"/>
              </w:rPr>
            </w:pPr>
          </w:p>
        </w:tc>
        <w:tc>
          <w:tcPr>
            <w:tcW w:w="2260" w:type="dxa"/>
            <w:vAlign w:val="bottom"/>
            <w:gridSpan w:val="4"/>
          </w:tcPr>
          <w:p>
            <w:pPr>
              <w:jc w:val="center"/>
              <w:ind w:right="113"/>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3"/>
              </w:rPr>
              <w:t>Portion)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Income (Effective Portion)</w:t>
            </w:r>
          </w:p>
        </w:tc>
        <w:tc>
          <w:tcPr>
            <w:tcW w:w="220" w:type="dxa"/>
            <w:vAlign w:val="bottom"/>
          </w:tcPr>
          <w:p>
            <w:pPr>
              <w:spacing w:after="0"/>
              <w:rPr>
                <w:sz w:val="16"/>
                <w:szCs w:val="16"/>
                <w:color w:val="auto"/>
              </w:rPr>
            </w:pPr>
          </w:p>
        </w:tc>
        <w:tc>
          <w:tcPr>
            <w:tcW w:w="142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93"/>
              </w:rPr>
              <w:t>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2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276"/>
        </w:trPr>
        <w:tc>
          <w:tcPr>
            <w:tcW w:w="34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220" w:type="dxa"/>
            <w:vAlign w:val="bottom"/>
            <w:shd w:val="clear" w:color="auto" w:fill="CCEEFF"/>
          </w:tcPr>
          <w:p>
            <w:pPr>
              <w:spacing w:after="0"/>
              <w:rPr>
                <w:sz w:val="24"/>
                <w:szCs w:val="24"/>
                <w:color w:val="auto"/>
              </w:rPr>
            </w:pPr>
          </w:p>
        </w:tc>
        <w:tc>
          <w:tcPr>
            <w:tcW w:w="1160" w:type="dxa"/>
            <w:vAlign w:val="bottom"/>
            <w:tcBorders>
              <w:bottom w:val="single" w:sz="8" w:color="auto"/>
            </w:tcBorders>
            <w:gridSpan w:val="2"/>
            <w:shd w:val="clear" w:color="auto" w:fill="CCEEFF"/>
          </w:tcPr>
          <w:p>
            <w:pPr>
              <w:jc w:val="right"/>
              <w:ind w:right="350"/>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5"/>
        </w:trPr>
        <w:tc>
          <w:tcPr>
            <w:tcW w:w="34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Derivatives in Cash Flow Hedging</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5,979</w:t>
            </w:r>
          </w:p>
        </w:tc>
        <w:tc>
          <w:tcPr>
            <w:tcW w:w="29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5,352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Net Investment Hedging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3,531</w:t>
            </w: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Senior notes - 2016</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9,649</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0"/>
                <w:szCs w:val="20"/>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9,648</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ineffectiveness was experienced in the above noted cash flow or net investment hedges during the three and six months ended June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57"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The Company expects that approximately $1.7 million (net of tax) of derivative losses included in AOCI at June 30, 2016, based on current market rates, will be reclassified into earnings within the next 12 months. The majority of this amount will vary due to fluctuations in foreign currency exchange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9,389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9,389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(288,110)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(320,209)</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(608,310)</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11,023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(206,300)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18,488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(368,436)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(556,248)</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6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7"/>
              </w:rPr>
              <w:t>Six Months Ended June</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30, 2015</w:t>
            </w:r>
          </w:p>
        </w:tc>
        <w:tc>
          <w:tcPr>
            <w:tcW w:w="12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4,446</w:t>
            </w: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2,318</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4,761</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2015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June 30, 2016, we had total bank guarantees and standby letters of credit of approximately $38.4 million with various financial institutions. Included in the above aggregate amount is a total of $16.2 million in bank guarantees which the Company has posted for certain assessments in Brazil for other diverse income tax and indirect tax disputes related to fiscal years 1998-2011. There were no material amounts utilized under the standby letters of credit as of June 30, 2016.</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$13.4 million as of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 Company has various lines of credit which are available to support its ongoing business operations. At June 30, 2016, we had available lines of credit (in addition to the $950 million of capacity under the Credit Facility discussed in Note 8 of our 2015 Form 10-K) of approximately $76.6 million with various financial institutions. There were no significant amounts drawn down pursuant to these lines of credit as of June 30,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726" w:right="279" w:bottom="1440" w:gutter="0" w:footer="0" w:header="0"/>
        </w:sectPr>
      </w:pPr>
    </w:p>
    <w:bookmarkStart w:id="16" w:name="page17"/>
    <w:bookmarkEnd w:id="16"/>
    <w:p>
      <w:pPr>
        <w:jc w:val="both"/>
        <w:ind w:right="240"/>
        <w:spacing w:after="0" w:line="277" w:lineRule="auto"/>
        <w:rPr>
          <w:sz w:val="20"/>
          <w:szCs w:val="20"/>
          <w:color w:val="auto"/>
        </w:rPr>
      </w:pPr>
      <w:r>
        <w:rPr>
          <w:rFonts w:ascii="Arial" w:cs="Arial" w:eastAsia="Arial" w:hAnsi="Arial"/>
          <w:sz w:val="18"/>
          <w:szCs w:val="18"/>
          <w:color w:val="auto"/>
        </w:rPr>
        <w:t>insurance carriers in Other assets. We recognize a receivable when we believe that realization of the insurance receivable is probable under the terms of the insurance policies and our payment experience to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8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Flavors facility in China was temporarily idled. Accordingly, the Company invested approximately $6.5 in odor-abatement equipment at these facilities to address these issues and is in the process of building a second Flavors site in China, which is expected to be completed during 2018.</w:t>
      </w:r>
    </w:p>
    <w:p>
      <w:pPr>
        <w:spacing w:after="0" w:line="52"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90" w:lineRule="exact"/>
        <w:rPr>
          <w:sz w:val="20"/>
          <w:szCs w:val="20"/>
          <w:color w:val="auto"/>
        </w:rPr>
      </w:pPr>
    </w:p>
    <w:p>
      <w:pPr>
        <w:jc w:val="both"/>
        <w:ind w:right="200" w:firstLine="405"/>
        <w:spacing w:after="0" w:line="302" w:lineRule="auto"/>
        <w:rPr>
          <w:sz w:val="20"/>
          <w:szCs w:val="20"/>
          <w:color w:val="auto"/>
        </w:rPr>
      </w:pPr>
      <w:r>
        <w:rPr>
          <w:rFonts w:ascii="Arial" w:cs="Arial" w:eastAsia="Arial" w:hAnsi="Arial"/>
          <w:sz w:val="16"/>
          <w:szCs w:val="16"/>
          <w:color w:val="auto"/>
        </w:rPr>
        <w:t>The Company has received a request from the Chinese government to relocate its Fragrance Ingredients plant in Zhejiang, China. The Company is in discussions with the government regarding the timing of the requested relocation and the amount and nature of government compensation to be provided to the Company. The net book value of the current site approximates $25 million. Depending upon the ultimate outcome of these discussions with the Chinese government, between $0-25 million of the remaining net book value may be subject to accelerated depreciation.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$29.6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ind w:right="260"/>
        <w:spacing w:after="0" w:line="276" w:lineRule="auto"/>
        <w:rPr>
          <w:sz w:val="20"/>
          <w:szCs w:val="20"/>
          <w:color w:val="auto"/>
        </w:rPr>
      </w:pPr>
      <w:r>
        <w:rPr>
          <w:rFonts w:ascii="Arial" w:cs="Arial" w:eastAsia="Arial" w:hAnsi="Arial"/>
          <w:sz w:val="17"/>
          <w:szCs w:val="17"/>
          <w:color w:val="auto"/>
        </w:rPr>
        <w:t>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late 2016/early 2017.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Based on the information available as of June 30, 2016, we estimate a range of reasonably possible loss related to the matters above, collectively, is $0-$46 million.</w:t>
      </w:r>
    </w:p>
    <w:p>
      <w:pPr>
        <w:spacing w:after="0" w:line="11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Separately, the Spanish tax authorities alleged claims for a capital tax,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have reversed the previously recorded provision of Euro 9.8 million ($10.5 million) for the year ended December 31, 2015. During the second quarter of 2016, we recorded additional income of $1.4 million related to the finalization of amounts expected to be received from the authorities. This amount has been reflected as a reduction of administrative expense.</w:t>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4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create, manufacture and supply flavors and fragrances (including cosmetic active ingredients) that are used in the food, beverage, personal care and household products industries either in the form of compounds or individual ingredients, including cosmetic active ingredients. Our flavors and fragrance compounds combine a number of ingredients that are blended, mixed or reacted together to produce proprietary formulas created by our flavorists and perfumers.</w:t>
      </w:r>
    </w:p>
    <w:p>
      <w:pPr>
        <w:spacing w:after="0" w:line="13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Flavors are the key building blocks that impart taste experiences in food and beverage products and, as such, play a significant role in determining consumer preference of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 (3) Sweet and (4) Dairy.</w:t>
      </w:r>
    </w:p>
    <w:p>
      <w:pPr>
        <w:spacing w:after="0" w:line="134"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231F20"/>
        </w:rPr>
        <w:t xml:space="preserve">We are a global leader in the creation of fragrance compounds that are integral elements in </w:t>
      </w:r>
      <w:r>
        <w:rPr>
          <w:rFonts w:ascii="Arial" w:cs="Arial" w:eastAsia="Arial" w:hAnsi="Arial"/>
          <w:sz w:val="16"/>
          <w:szCs w:val="16"/>
          <w:color w:val="000000"/>
        </w:rPr>
        <w:t>the world’s finest perfumes and best-known consumer</w:t>
      </w:r>
      <w:r>
        <w:rPr>
          <w:rFonts w:ascii="Arial" w:cs="Arial" w:eastAsia="Arial" w:hAnsi="Arial"/>
          <w:sz w:val="16"/>
          <w:szCs w:val="16"/>
          <w:color w:val="231F20"/>
        </w:rPr>
        <w:t xml:space="preserve"> </w:t>
      </w:r>
      <w:r>
        <w:rPr>
          <w:rFonts w:ascii="Arial" w:cs="Arial" w:eastAsia="Arial" w:hAnsi="Arial"/>
          <w:sz w:val="16"/>
          <w:szCs w:val="16"/>
          <w:color w:val="000000"/>
        </w:rPr>
        <w:t>products, within fabric care, home care, personal wash, hair care and toiletries products. Our Fragrances business consists of Fragrance Compounds and Fragrance Ingredients. Our Fragrance Compounds are defined into two broad categories, (1) Fine Fragrances and (2) Consumer Fragrances. Consumer Fragrances consists of five end-use categories of products: (1) Fabric Care, (2) Home Care, (3) Personal Wash, (4) Hair Care and (5) Toiletries. In addition, Fragrance Ingredients, that are used internally and sold to third parties, including customers and competitors, for use in preparation of compounds, and cosmetic active ingredients, which consist of active and functional ingredients, are included in the Fragrances business unit.</w:t>
      </w:r>
    </w:p>
    <w:p>
      <w:pPr>
        <w:spacing w:after="0" w:line="11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 xml:space="preserve">The flavors and fragrances market is part of a larger market which supplies a wide variety of ingredients and compounds that are used in consumer products. The broader market includes large multinational companies or smaller regional and local participants which supply products such as seasonings, texturizers, spices, enzymes, certain food-related commodities, fortified products and cosmetic active ingredients. </w:t>
      </w:r>
      <w:r>
        <w:rPr>
          <w:rFonts w:ascii="Arial" w:cs="Arial" w:eastAsia="Arial" w:hAnsi="Arial"/>
          <w:sz w:val="17"/>
          <w:szCs w:val="17"/>
          <w:color w:val="231F20"/>
        </w:rPr>
        <w:t>The global market for flavors and</w:t>
      </w:r>
      <w:r>
        <w:rPr>
          <w:rFonts w:ascii="Arial" w:cs="Arial" w:eastAsia="Arial" w:hAnsi="Arial"/>
          <w:sz w:val="17"/>
          <w:szCs w:val="17"/>
          <w:color w:val="auto"/>
        </w:rPr>
        <w:t xml:space="preserve"> </w:t>
      </w:r>
      <w:r>
        <w:rPr>
          <w:rFonts w:ascii="Arial" w:cs="Arial" w:eastAsia="Arial" w:hAnsi="Arial"/>
          <w:sz w:val="17"/>
          <w:szCs w:val="17"/>
          <w:color w:val="231F20"/>
        </w:rPr>
        <w:t xml:space="preserve">fragrances has expanded consistently, primarily as a result of an increase in demand for, as well as an increase in the variety of, consumer products containing flavors and fragrances. </w:t>
      </w:r>
      <w:r>
        <w:rPr>
          <w:rFonts w:ascii="Arial" w:cs="Arial" w:eastAsia="Arial" w:hAnsi="Arial"/>
          <w:sz w:val="17"/>
          <w:szCs w:val="17"/>
          <w:color w:val="000000"/>
        </w:rPr>
        <w:t>In 2014, the flavors and fragrances market, in which we compete, was estimated by management to be at least $18 billion and is</w:t>
      </w:r>
      <w:r>
        <w:rPr>
          <w:rFonts w:ascii="Arial" w:cs="Arial" w:eastAsia="Arial" w:hAnsi="Arial"/>
          <w:sz w:val="17"/>
          <w:szCs w:val="17"/>
          <w:color w:val="231F20"/>
        </w:rPr>
        <w:t xml:space="preserve"> </w:t>
      </w:r>
      <w:r>
        <w:rPr>
          <w:rFonts w:ascii="Arial" w:cs="Arial" w:eastAsia="Arial" w:hAnsi="Arial"/>
          <w:sz w:val="17"/>
          <w:szCs w:val="17"/>
          <w:color w:val="000000"/>
        </w:rPr>
        <w:t xml:space="preserve">forecasted to grow to approximately $21.6 billion by 2019, primarily driven by expected growth in emerging markets; however the exact size of the global market is not available due to fragmentation of data. </w:t>
      </w:r>
      <w:r>
        <w:rPr>
          <w:rFonts w:ascii="Arial" w:cs="Arial" w:eastAsia="Arial" w:hAnsi="Arial"/>
          <w:sz w:val="17"/>
          <w:szCs w:val="17"/>
          <w:color w:val="231F20"/>
        </w:rPr>
        <w:t>We estimate the market size for cosmetic active ingredients to be approximately $1.5 billion as of 2015.</w:t>
      </w:r>
      <w:r>
        <w:rPr>
          <w:rFonts w:ascii="Arial" w:cs="Arial" w:eastAsia="Arial" w:hAnsi="Arial"/>
          <w:sz w:val="17"/>
          <w:szCs w:val="17"/>
          <w:color w:val="000000"/>
        </w:rPr>
        <w:t xml:space="preserve"> We, together with the other top three companies, are estimated to represent approximately two-thirds of the total estimated sales in the global flavors and fragrances sub-segment of the broader market.</w:t>
      </w:r>
    </w:p>
    <w:p>
      <w:pPr>
        <w:spacing w:after="0" w:line="128" w:lineRule="exact"/>
        <w:rPr>
          <w:sz w:val="20"/>
          <w:szCs w:val="20"/>
          <w:color w:val="auto"/>
        </w:rPr>
      </w:pPr>
    </w:p>
    <w:p>
      <w:pPr>
        <w:jc w:val="both"/>
        <w:ind w:right="300" w:firstLine="405"/>
        <w:spacing w:after="0" w:line="342" w:lineRule="auto"/>
        <w:rPr>
          <w:sz w:val="20"/>
          <w:szCs w:val="20"/>
          <w:color w:val="auto"/>
        </w:rPr>
      </w:pPr>
      <w:r>
        <w:rPr>
          <w:rFonts w:ascii="Arial" w:cs="Arial" w:eastAsia="Arial" w:hAnsi="Arial"/>
          <w:sz w:val="16"/>
          <w:szCs w:val="16"/>
          <w:color w:val="auto"/>
        </w:rPr>
        <w:t>During the second quarter of 2015, we completed the acquisition of Ottens Flavors, and in the third quarter of 2015, we completed the acquisition of Lucas Meyer. The acquisitions did not have a material impact on our consolidated statement of comprehensive income either individually or in aggregate.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Overview</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Net sales during the second quarter of 2016 increased 3% on a reported basis and 4% on a currency neutral basis (which excludes the effects of changes in currency), with the effects of acquisitions contributing approximately 2% to both reported and currency neutral basis growth rates. The currency neutral growth of 4% reflects new win performance (net of losses) in Flavors and Fragrance Compounds in addition to strong growth in Fragrance Ingredients, driven by the impact of acquisitions and lower volume erosion on existing business in Fragrance Compounds.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Exchange rate fluctuations had a 100 basis point (bps) unfavorable impact on net sales for the second quarter, due to the strengthening of the U.S. dollar. The effect of exchange rates can vary by business and region, depending upon the mix of sales by destination country as well as the relative percentage of local sales priced in U.S. dollars versus local currencies.</w:t>
      </w:r>
    </w:p>
    <w:p>
      <w:pPr>
        <w:spacing w:after="0" w:line="127"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Gross margins increased year-over-year to 46.1% in the second quarter of 2016 from 45.0% in the 2015 period driven primarily by volume growth, the benefits of productivity initiatives and the contribution of acquisitions. Included in the second quarter of 2016 was $1.0 million of restructuring costs and operational improvement initiative costs, compared to $1.1 million of costs associated with accelerated depreciation included in the second quarter of 2015. Excluding these items, gross margin increased 110 bps compared to the prior year period. The overall raw material cost base continues to be essentially benign. We believe that we will continue to see higher prices on certain categories (such as naturals including vanilla) that will be largely</w:t>
      </w: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0" w:right="259" w:bottom="1440" w:gutter="0" w:footer="0" w:header="0"/>
        </w:sectPr>
      </w:pPr>
    </w:p>
    <w:bookmarkStart w:id="19" w:name="page20"/>
    <w:bookmarkEnd w:id="19"/>
    <w:p>
      <w:pPr>
        <w:ind w:right="380"/>
        <w:spacing w:after="0" w:line="277" w:lineRule="auto"/>
        <w:rPr>
          <w:sz w:val="20"/>
          <w:szCs w:val="20"/>
          <w:color w:val="auto"/>
        </w:rPr>
      </w:pPr>
      <w:r>
        <w:rPr>
          <w:rFonts w:ascii="Arial" w:cs="Arial" w:eastAsia="Arial" w:hAnsi="Arial"/>
          <w:sz w:val="18"/>
          <w:szCs w:val="18"/>
          <w:color w:val="auto"/>
        </w:rPr>
        <w:t>offset by benefits associated with oil-based derivatives that are expected to continue in 2016. We continue to seek improvements in our margins through operational performance, cost reduction efforts and mix enhancement.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Reported sales in the second quarter of 2016 increased approximately 3%. In currency neutral terms, sales increased 4%, reflecting new win performance in both Flavors and Fragrance Compounds, lower volume erosion on existing business in Fragrance Compounds and the effect of acquisitions (which added approximately 2% to both reported and currency neutral basis amounts). We continue to benefit from our diverse portfolio of end-use product categories and geographies and had currency neutral growth in three of our four regions and all four of our end-use product categories. Flavors realized currency neutral growth of 3% for the second quarter of 2016, which was partially driven by the inclusion of acquisitions. Our Fragrance business achieved currency neutral growth of 5%, driven primarily by the inclusion of acquisitions. Fragrances growth principally reflects strong growth within Fragrance Ingredients, which was driven entirely by the inclusion of acquisitions. Overall, our second quarter 2016 results include 5% growth from developed markets and 3% growth from emerging markets which each represented 50% of currency neutral sales. From a geographic perspective, for the second quarter, North America (NOAM), Europe, Africa and the Middle East (EAME) and Greater Asia (GA) all delivered currency neutral growth in 2016, led by GA with 8%. Latin America (LA) sales declined 3% on a currency neutral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Operating profit increased $15.6 million to $164.5 million (20.7% of sales) in the 2016 second quarter compared to $148.8 million (19.4% of sales) in the comparable 2015 period. The second quarter of 2016 included $1.2 million of restructuring, acquisition-related, and operational improvement costs compared to $6.5 million of acquisition-related, restructuring and operational improvement initiative costs in the prior year period. Excluding these charges, adjusted operating profit increased to $165.7 million (20.9% of sales) for the second quarter of 2016 compared to $155.3 million (20.2% of sales) for the second quarter of 2015. Foreign currency changes did not have an impact on operating profit in the 2016 period, but had an unfavorable impact on operating profit of approximately 8% in the 2015 period versus the 2014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Other (income) expense, net increased $3.0 million to $2.6 million of income in the second quarter of 2016 compared to $0.4 million of expense in the second quarter of 2015. The year-over-year increase is primarily driven by favorable year-over-year foreign exchange gains/(losses) in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income increased by $11.4 million quarter-over-quarter to $116.7 million for the second quarter of 2016, driven by the factors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Cash flows from operations for the six months ended June 30, 2016 were $154.6 million or 9.8% of sales, compared to cash inflow from operations of $166.3 million or 10.8% of sales for the six months ended June 30, 2015. The decrease in cash flows from operations in 2016 was principally driven by increased core working capital levels (trade receivables, inventories and accounts payable) partially offset by lower pension contributions for the 2016 period as compared to the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746"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7"/>
              </w:rPr>
              <w:t>Three Months Ended June 30,</w:t>
            </w:r>
          </w:p>
        </w:tc>
        <w:tc>
          <w:tcPr>
            <w:tcW w:w="1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900" w:type="dxa"/>
            <w:vAlign w:val="bottom"/>
            <w:gridSpan w:val="3"/>
          </w:tcPr>
          <w:p>
            <w:pPr>
              <w:ind w:left="40"/>
              <w:spacing w:after="0" w:line="143" w:lineRule="exact"/>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2"/>
                <w:szCs w:val="12"/>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3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9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EXCEPT PER SHARE AMOUNTS)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793,478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767,541</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3 %</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1,576,789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1,542,448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427,837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422,501</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850,940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851,131</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365,641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345,040</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725,849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691,317</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(R&amp;D) expenses</w:t>
            </w: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63,252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62,514</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126,637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125,976</w:t>
            </w:r>
          </w:p>
        </w:tc>
        <w:tc>
          <w:tcPr>
            <w:tcW w:w="10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132,784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131,023</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1 %</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3,040</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69 %</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11,191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4,880</w:t>
            </w:r>
          </w:p>
        </w:tc>
        <w:tc>
          <w:tcPr>
            <w:tcW w:w="100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164,475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148,821</w:t>
            </w:r>
          </w:p>
        </w:tc>
        <w:tc>
          <w:tcPr>
            <w:tcW w:w="1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331,694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310,613</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11,407</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32 %</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22,502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436</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(5,275)</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136,978</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306,947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293,386</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35,317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31,604</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12 %</w:t>
            </w:r>
          </w:p>
        </w:tc>
        <w:tc>
          <w:tcPr>
            <w:tcW w:w="26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71,610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59,754</w:t>
            </w: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116,733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105,374</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11 %</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235,337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233,632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ind w:left="4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gridSpan w:val="3"/>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2.86</w:t>
            </w:r>
          </w:p>
        </w:tc>
        <w:tc>
          <w:tcPr>
            <w:tcW w:w="100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R&amp;D as a percentage of sales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S&amp;A as a percentage of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margin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20.2%</w:t>
            </w:r>
          </w:p>
        </w:tc>
        <w:tc>
          <w:tcPr>
            <w:tcW w:w="1320" w:type="dxa"/>
            <w:vAlign w:val="bottom"/>
            <w:shd w:val="clear" w:color="auto" w:fill="CCEEFF"/>
          </w:tcPr>
          <w:p>
            <w:pPr>
              <w:jc w:val="right"/>
              <w:ind w:right="271"/>
              <w:spacing w:after="0"/>
              <w:rPr>
                <w:sz w:val="20"/>
                <w:szCs w:val="20"/>
                <w:color w:val="auto"/>
              </w:rPr>
            </w:pPr>
            <w:r>
              <w:rPr>
                <w:rFonts w:ascii="Arial" w:cs="Arial" w:eastAsia="Arial" w:hAnsi="Arial"/>
                <w:sz w:val="18"/>
                <w:szCs w:val="18"/>
                <w:i w:val="1"/>
                <w:iCs w:val="1"/>
                <w:color w:val="auto"/>
              </w:rPr>
              <w:t>70</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20.6%</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Flavors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379,504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372,478</w:t>
            </w: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752,012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749,586</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Fragrances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413,974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395,063</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5 %</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824,777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792,862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793,478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767,541</w:t>
            </w:r>
          </w:p>
        </w:tc>
        <w:tc>
          <w:tcPr>
            <w:tcW w:w="13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1,576,789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1,542,448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40" w:right="200" w:hanging="316"/>
        <w:spacing w:after="0" w:line="297"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operating margin excludes $1.2 million consisting of restructuring, acquisition-related and operational improvement costs for the three months ended June 30, 2016 and excludes $6.5 million acquisition-related, restructuring and operational improvement initiative costs for the three months ended June 30, 2015. For the six months ended June 30, 2016, adjusted operating margin excludes $1.1 million of restructuring, acquisition-related and operational improvement initiative costs which were partially offset by the benefit of the Spanish capital tax settlement compared to the exclusion of $7.5 million of Restructuring and other charges, net and operational improvement initiative costs during the comparable 2015 period.</w:t>
      </w:r>
    </w:p>
    <w:p>
      <w:pPr>
        <w:spacing w:after="0" w:line="10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ind w:right="5360"/>
        <w:spacing w:after="0" w:line="346" w:lineRule="auto"/>
        <w:rPr>
          <w:sz w:val="20"/>
          <w:szCs w:val="20"/>
          <w:color w:val="auto"/>
        </w:rPr>
      </w:pPr>
      <w:r>
        <w:rPr>
          <w:rFonts w:ascii="Arial" w:cs="Arial" w:eastAsia="Arial" w:hAnsi="Arial"/>
          <w:sz w:val="18"/>
          <w:szCs w:val="18"/>
          <w:b w:val="1"/>
          <w:bCs w:val="1"/>
          <w:u w:val="single" w:color="auto"/>
          <w:color w:val="auto"/>
        </w:rPr>
        <w:t xml:space="preserve">SECOND QUARTER 2016 IN COMPARISON TO SECOND QUARTER 2015 </w:t>
      </w:r>
      <w:r>
        <w:rPr>
          <w:rFonts w:ascii="Arial" w:cs="Arial" w:eastAsia="Arial" w:hAnsi="Arial"/>
          <w:sz w:val="18"/>
          <w:szCs w:val="18"/>
          <w:b w:val="1"/>
          <w:bCs w:val="1"/>
          <w:color w:val="auto"/>
        </w:rPr>
        <w:t>Sales</w:t>
      </w:r>
    </w:p>
    <w:p>
      <w:pPr>
        <w:spacing w:after="0" w:line="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Sales for the second quarter of 2016 totaled $793.5 million, an increase of 3% from the prior year quarter. On a currency neutral basis sales increased 4%, as a result of new win performance in both Flavors and Fragrance Compounds, in addition to strong growth in Fragrance Ingredients (driven by the impact of acquisitions) and lower volume erosion on existing business in Fragrance Compounds. On both a reported and currency neutral basis, the effect of acquisitions was approximately 2% to net sales amounts.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21"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Flavors reported sales increased 2% from the prior year period while currency neutral sales increased 3% during the second quarter of 2016 compared to the 2015 period, which reflects new win performance and was partially driven by the inclusion of acquisitions in both reported and currency neutral basis amounts. The currency neutral increase was due to low single-digit growth in all four end-use categories. The Flavors business delivered currency neutral growth in NOAM, EAME and GA, led by GA. Sales in GA were led by double-digit gains in Sweet and mid single-digit gains in Savory. EAME sales were driven by double-digit gains in Dairy and high single-digit gains in Beverage. Sales in NOAM were driven by high single-digit gains in Beverage. LA sales declines were driven by double-digit declines in Sweet and high single-digit declines in Beverage.</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Fragrances business experienced an increase of 5% in both reported and currency neutral sales for the second quarter of 2016 compared to the second quarter of 2015. Acquisitions accounted for substantially all of the growth on a reported basis and accounted for approximately half of the growth on a currency neutral basis. The overall currency neutral increase was primarily driven by double-digit growth in Fragrance Ingredients, which is driven entirely by the inclusion of acquisitions, in addition to double-digit growth in Personal Wash and mid single-digit growth in Home Care and Hair Care categories. Excluding the effects of acquisitions, Fragrance Ingredients sales declined mid single-digits on a currency neutral basis.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w w:val="93"/>
              </w:rPr>
              <w:t>% Change in Sales - Second Quarter 2016 vs. Second Quarter 2015</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Flavors</w:t>
            </w: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43"/>
        </w:trPr>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tcPr>
          <w:p>
            <w:pPr>
              <w:spacing w:after="0"/>
              <w:rPr>
                <w:sz w:val="21"/>
                <w:szCs w:val="21"/>
                <w:color w:val="auto"/>
              </w:rPr>
            </w:pPr>
          </w:p>
        </w:tc>
        <w:tc>
          <w:tcPr>
            <w:tcW w:w="1420" w:type="dxa"/>
            <w:vAlign w:val="bottom"/>
          </w:tcPr>
          <w:p>
            <w:pPr>
              <w:ind w:left="1000"/>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4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4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2016 period.</w:t>
      </w:r>
    </w:p>
    <w:p>
      <w:pPr>
        <w:spacing w:after="0" w:line="210" w:lineRule="exact"/>
        <w:rPr>
          <w:rFonts w:ascii="Arial" w:cs="Arial" w:eastAsia="Arial" w:hAnsi="Arial"/>
          <w:sz w:val="18"/>
          <w:szCs w:val="18"/>
          <w:color w:val="auto"/>
        </w:rPr>
      </w:pPr>
    </w:p>
    <w:p>
      <w:pPr>
        <w:ind w:left="660" w:right="180" w:hanging="328"/>
        <w:spacing w:after="0" w:line="25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NOAM Flavors sales increased 4%, which included the impact of acquisitions contributing to high single-digit growth in Beverage and low single-digit growth in Sweet. NOAM Fragrance sales increased 7% in the second quarter of 2016, principally due to double-digit gains Fragrance Ingredients, which included the impact of acquisitions, Home Care, Fabric Care and Hair Care, which was partially offset by mid single-digit declines in Fine Fragrance.</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EAME Flavors currency neutral sales increased 4% primarily due to double-digit growth in Dairy, high single-digit growth in Beverage and mid to low single-digit growth in Sweet and Savory. EAME Fragrance currency neutral sales increased 3% overall, driven mainly by double-digit growth in Fragrance Ingredients, which included the impact of acquisitions, Hair Care and Home Care, which more than offset low single-digit declines in Fine Fragrance.</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LA Flavors currency neutral sales declined 7% driven by double-digit declines in Sweet and high single-digit declines in Beverage, which were only partially offset by mid single-digit growth in Savory and Dairy categories. LA Fragrances currency neutral sales decreased 1% overall, principally driven by double-digit declines in Fragrance Ingredients and Home Care as well as high single-digit declines in Fabric Care, which were only partially offset by double-digit growth in Fine Fragrance and Personal Wash.</w:t>
      </w:r>
    </w:p>
    <w:p>
      <w:pPr>
        <w:spacing w:after="0" w:line="1" w:lineRule="exact"/>
        <w:rPr>
          <w:rFonts w:ascii="Arial" w:cs="Arial" w:eastAsia="Arial" w:hAnsi="Arial"/>
          <w:sz w:val="18"/>
          <w:szCs w:val="18"/>
          <w:color w:val="auto"/>
        </w:rPr>
      </w:pPr>
    </w:p>
    <w:p>
      <w:pPr>
        <w:ind w:left="660" w:right="60" w:hanging="328"/>
        <w:spacing w:after="0" w:line="30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GA Flavors currency neutral sales increased 6% from the prior year period driven by double-digit growth in Sweet, mid single-digit growth in Savory and low single-digit gains in Beverage and Dairy. GA Fragrances currency neutral sales growth of 11% was principally driven by double-digit gains in Fabric Care and Personal Wash as well as high single-digit growth in Fragrance Ingredients, which included the impact of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27" w:right="23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Cost of goods sold, as a percentage of sales, decreased 110 bps to 53.9% in the second quarter of 2016 compared to 55.0% in the second quarter of 2015, principally driven by cost savings and productivity initiatives. Included in cost of goods sold was $1.0 million of restructuring, acquisition related and operational improvement costs in 2016 compared to $1.1 million of restructuring and operational improvement initiative costs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Overall R&amp;D expenses, as a percentage of sales, decreased slightly compared to the prior year period at 8.0% in the second quarter of 2016 versus 8.1% in the second quarter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S&amp;A expenses increased $1.8 million to $132.8 million or 16.7%, as a percentage of sales, in the second quarter of 2016 compared to 17.1% in the second quarter of 2015. The $1.8 million increase was principally due to costs associated with S&amp;A expenses of acquired entities which were partially offset by the impact of currency.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Amortization expenses increased $2.1 million to $5.1 million in the second quarter of 2016 compared to $3.0 million in the second quarter of 2015. The $2.1 million increase was driven by the acquisitions of Ottens Flavors and Lucas Meyer in the second and third quarters of 2015,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June 30,</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2015</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90,337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84,015</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87,596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79,924</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(12,232)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(8,629)</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(6,566)</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164,475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148,821</w:t>
            </w:r>
          </w:p>
        </w:tc>
      </w:tr>
      <w:tr>
        <w:trPr>
          <w:trHeight w:val="67"/>
        </w:trPr>
        <w:tc>
          <w:tcPr>
            <w:tcW w:w="79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Profit margin:</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Flavors segment profit increased to $90.3 million in the second quarter of 2016, or 23.8% as a percentage of sales, with $84.0 million, or 22.6% as a percentage of sales, in the comparable 2015 period, principally reflecting productivity initiatives which were partially offset by incremental costs related to new sites.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Fragrances segment profit increased approximately 9.6% to $87.6 million in the second quarter of 2016, or 21.2% as a percentage of sales, compared to $79.9 million, or 20.2% as a percentage of sales, in the comparable 2015 period. The increase in segment profit and profit margin was primarily due to volume growth, productivity initiatives and the impact of Lucas Meyer, which were partially offset by the net impact of price versus input costs and increased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0" w:right="2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second quarter of 2016, Global expenses were $12.2 million compared to $8.6 million during the second quarter of 2015. The increase was principally driven by higher compensation costs and lower favorable impact from our cash flow hedging program.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Interest expense increased $3.7 million to $15.1 million in the second quarter of 2016 compared to $11.4 million in the 2015 period reflecting the impact of borrowings under the Euro Senior Notes - 2016. Average cost of debt was 4.0% for the 2016 period compared to 4.7% for the 2015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Other (income) expense, net increased by approximately $3.0 million to $2.6 million of income in the second quarter of 2016 versus $0.4 million of expense in the comparable 2015 period. The year-over-year increase is primarily driven by higher foreign exchange gains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effective tax rate for the three months ended June 30, 2016 was 23.2% compared with 23.1% for the three months ended June 30, 2015. The quarter-over-quarter increase is largely due to higher loss provisions in 2016 partially offset by lower cost of repatriation in the second quarter of 2016. Excluding the $0.2 million tax benefit associated with the pretax restructuring and operational improvement initiatives and the $0.1 million tax charge associated with acquisition costs included in the current quarter, the second quarter 2016 adjusted effective tax rate was 23.1%, or 50 bps higher than the second quarter 2015 adjusted effective tax rate of 22.6%. The 2015 adjusted effective tax rate excluded $0.9 million of tax benefit associated with the pretax acquisition and operational improvement initiative costs and $0.1 million tax charge associated with pretax restructuring costs.</w:t>
      </w:r>
    </w:p>
    <w:p>
      <w:pPr>
        <w:spacing w:after="0" w:line="242" w:lineRule="exact"/>
        <w:rPr>
          <w:sz w:val="20"/>
          <w:szCs w:val="20"/>
          <w:color w:val="auto"/>
        </w:rPr>
      </w:pPr>
    </w:p>
    <w:p>
      <w:pPr>
        <w:ind w:right="4960"/>
        <w:spacing w:after="0" w:line="346" w:lineRule="auto"/>
        <w:rPr>
          <w:sz w:val="20"/>
          <w:szCs w:val="20"/>
          <w:color w:val="auto"/>
        </w:rPr>
      </w:pPr>
      <w:r>
        <w:rPr>
          <w:rFonts w:ascii="Arial" w:cs="Arial" w:eastAsia="Arial" w:hAnsi="Arial"/>
          <w:sz w:val="18"/>
          <w:szCs w:val="18"/>
          <w:b w:val="1"/>
          <w:bCs w:val="1"/>
          <w:u w:val="single" w:color="auto"/>
          <w:color w:val="auto"/>
        </w:rPr>
        <w:t xml:space="preserve">FIRST SIX MONTHS OF 2016 IN COMPARISON TO FIRST SIX MONTHS 2015 </w:t>
      </w:r>
      <w:r>
        <w:rPr>
          <w:rFonts w:ascii="Arial" w:cs="Arial" w:eastAsia="Arial" w:hAnsi="Arial"/>
          <w:sz w:val="18"/>
          <w:szCs w:val="18"/>
          <w:b w:val="1"/>
          <w:bCs w:val="1"/>
          <w:color w:val="auto"/>
        </w:rPr>
        <w:t>Sales</w:t>
      </w:r>
    </w:p>
    <w:p>
      <w:pPr>
        <w:spacing w:after="0" w:line="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Sales for the first six months of 2016 totaled $1.6 billion, an increase of 2% from the prior year period. On a currency neutral basis sales increased 5%, as a result of new win performance in both Flavors and Fragrance Compounds, in addition to strong growth in Fragrance Ingredients, driven by the impact of acquisitions and lower volume erosion on existing business in Fragrance Compounds. On both a reported and currency neutral basis, the effect of acquisitions was approximately 3% to net sales amounts. Overall currency neutral growth included 6% growth from developed markets and 4% growth from emerging markets.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Flavors reported sales remained flat against the prior year period while currency neutral sales increased 4% during the first six months of 2016 compared to the 2015 period, which was partially driven by the inclusion of acquisitions in both reported and currency neutral basis amounts. In addition, the overall performance reflects new win performance. The currency neutral increase was due to low to mid single-digit growth in all four end-use categories. The Flavors business delivered currency neutral growth all four regions, led by NOAM. Sales in NOAM were led by high single-digit gains in Beverage and Sweet. Sales in GA were driven by high single-digit gains in Sweet. LA sales were driven by double-digit gains in Savory. EAME sales were driven by high single-digit gains in Dairy.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Fragrances business experienced an increase of 4% in reported sales and an 6% increase in currency neutral sales for the first six months of 2016 compared to the 2015 period. Acquisitions accounted for primarily all of the growth on a reported basis and accounted for approximately half of the growth on a currency neutral basis. The overall currency neutral increase was primarily driven by double-digit growth in Fragrance Ingredients, which is driven entirely by the inclusion of acquisitions, and Personal Wash as well as mid single-digit growth in Fabric Care, Fine Fragrance and Home Care. Excluding the effects of acquisitions, Fragrance Ingredients sales declined mid single-digits on a currency neutral basis.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27"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3"/>
              </w:rPr>
              <w:t>% Change in Sales - First Six Months 2016 vs. First Six Months 2015</w:t>
            </w: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20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Total Frag.</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2"/>
              </w:rPr>
              <w:t>Flavors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20" w:type="dxa"/>
            <w:vAlign w:val="bottom"/>
            <w:gridSpan w:val="2"/>
            <w:vMerge w:val="continue"/>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2016 period.</w:t>
      </w:r>
    </w:p>
    <w:p>
      <w:pPr>
        <w:spacing w:after="0" w:line="210" w:lineRule="exact"/>
        <w:rPr>
          <w:rFonts w:ascii="Arial" w:cs="Arial" w:eastAsia="Arial" w:hAnsi="Arial"/>
          <w:sz w:val="18"/>
          <w:szCs w:val="18"/>
          <w:color w:val="auto"/>
        </w:rPr>
      </w:pPr>
    </w:p>
    <w:p>
      <w:pPr>
        <w:ind w:left="660" w:right="60" w:hanging="328"/>
        <w:spacing w:after="0" w:line="25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NOAM Flavors sales increased 6%, which included the impact of acquisitions contributing to high single-digit growth in Beverage and Sweet which more than offset high single-digit declines in Dairy. NOAM Fragrance sales increased 10% in the second quarter of 2016, principally due to double-digit gains Fragrance Ingredients, which included the impact of acquisitions, Fabric Care and Home Care as well as mid single-digit gains in Fine Fragrance.</w:t>
      </w:r>
    </w:p>
    <w:p>
      <w:pPr>
        <w:spacing w:after="0" w:line="2" w:lineRule="exact"/>
        <w:rPr>
          <w:rFonts w:ascii="Arial" w:cs="Arial" w:eastAsia="Arial" w:hAnsi="Arial"/>
          <w:sz w:val="18"/>
          <w:szCs w:val="18"/>
          <w:color w:val="auto"/>
        </w:rPr>
      </w:pPr>
    </w:p>
    <w:p>
      <w:pPr>
        <w:ind w:left="660" w:right="160" w:hanging="328"/>
        <w:spacing w:after="0" w:line="265"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EAME Flavors currency neutral sales increased 1% primarily due to high single-digit growth in Dairy and low single-digit growth in Beverage and Sweet. EAME Fragrance currency neutral sales increased 4% overall, driven mainly by double-digit growth in Fragrance Ingredients, which included the impact of acquisitions, and Hair Care as well as low single-digit growth in Fabric Care and Fine Fragrance.</w:t>
      </w:r>
    </w:p>
    <w:p>
      <w:pPr>
        <w:jc w:val="both"/>
        <w:ind w:left="660" w:right="80" w:hanging="328"/>
        <w:spacing w:after="0" w:line="250"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LA Flavors currency neutral sales were up 1% driven by double-digit gains in the Savory and Dairy. LA Fragrances currency neutral sales increased 3% overall, principally led by double-digit gains in Personal Wash, Fine Fragrance and Hair Care, which more than offset high single-digit declines in Fragrance Ingredients and mid single-digit declines in Fabric Care.</w:t>
      </w:r>
    </w:p>
    <w:p>
      <w:pPr>
        <w:spacing w:after="0" w:line="1" w:lineRule="exact"/>
        <w:rPr>
          <w:rFonts w:ascii="Arial" w:cs="Arial" w:eastAsia="Arial" w:hAnsi="Arial"/>
          <w:sz w:val="18"/>
          <w:szCs w:val="18"/>
          <w:color w:val="auto"/>
        </w:rPr>
      </w:pPr>
    </w:p>
    <w:p>
      <w:pPr>
        <w:ind w:left="660" w:hanging="328"/>
        <w:spacing w:after="0" w:line="302"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GA Flavors currency neutral sales increased 4% from the prior year period driven by high single-digit gains in Sweet and low to mid single-digit gains in Savory, Beverage and Dairy. GA Fragrances currency neutral sales growth of 8% was principally driven by double-digit gains in Fragrance Ingredients, which included the impact of acquisitions, Fabric Care and Personal Wash which more than offset mid single-digit declines in Hair Care.</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Cost of goods sold, as a percentage of sales, decreased 120 bps to 54.0% in the first six months of 2016 compared to 55.2% in the first six months of 2015, principally driven by cost savings and productivity initiatives. Included in cost of goods sold was $2.3 million of acquisition-related, restructuring and operational improvement costs in 2016 compared to $1.4 million of acquisition-related and operational improvement initiative costs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Overall R&amp;D expenses, as a percentage of sales, decreased slightly compared to the prior year period at 8.0% in the first six months of 2016 versus 8.2% for the first six months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S&amp;A expenses increased $6.3 million to $256.3 million or 16.3%, as a percentage of sales, in the first six months of 2016 compared to 16.2% in the first six months of 2015. The $6.3 million increase was principally due to costs associated with expenses of acquired entities which were partially offset by the impact of currency and a $1.5 million benefit related to the Spanish capital tax settlement. Excluding the benefit of $1.5 million, adjusted S&amp;A expenses increased by $4.8 million and was 16.2% of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Amortization expenses increased $6.3 million to $11.2 million in the first six months of 2016 compared to $4.9 million in the first six months of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$6.3 million increase was driven by the acquisitions of Ottens Flavors and Lucas Meyer in the second and third quarters of 2015, respectively.</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3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182,151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176,743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176,833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161,522</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(26,141)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(20,194)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Spanish capital tax settlement</w:t>
            </w: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331,694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310,613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Flavors segment profit increased to $182.2 million in the first six months of 2016, or 24.2% as a percentage of sales, with $176.7 million, or 23.6% as a percentage of sales in the comparable 2015 period, principally reflecting productivity initiatives, growth from Ottens Flavors and lower compensation costs, partially offset by higher S&amp;A costs, unfavorable input costs and incremental costs related to new sites.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Fragrances segment profit increased approximately 9% to $176.8 million in the first six months of 2016, or 21.4% as a percentage of sales, compared to $161.5 million, or 20.4% as a percentage of sales, in the comparable 2015 period. The increase in segment profit and profit margin was primarily due to volume growth, productivity initiatives and the impact of Lucas Meyer, which was partially offset by higher S&amp;A costs.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six months of 2016, Global expenses were $26.1 million compared to $20.2 million during the 2015 period. The increase was principally driven by higher compensation costs which were partially offset by higher favorable impact from our cash flow hedging program.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Interest expense increased $5.0 million to $27.5 million in the first six months of 2016 compared to $22.5 million in the 2015 period reflecting the impact of borrowings under the Euro Senior Notes - 2016. Average cost of debt was 3.9% for the 2016 period compared to 4.7% for the 2015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Other (income) expense, net increased by approximately $2.5 million to $2.8 million of income in the first six months of 2016 versus $5.3 million of income in the comparable 2015 period. The year-over-year increase is primarily driven by a gain on the sale of land and higher foreign exchange gains in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23" w:right="259" w:bottom="1440" w:gutter="0" w:footer="0" w:header="0"/>
        </w:sectPr>
      </w:pPr>
    </w:p>
    <w:bookmarkStart w:id="26" w:name="page27"/>
    <w:bookmarkEnd w:id="26"/>
    <w:p>
      <w:pPr>
        <w:ind w:right="60" w:firstLine="432"/>
        <w:spacing w:after="0" w:line="291" w:lineRule="auto"/>
        <w:rPr>
          <w:sz w:val="20"/>
          <w:szCs w:val="20"/>
          <w:color w:val="auto"/>
        </w:rPr>
      </w:pPr>
      <w:r>
        <w:rPr>
          <w:rFonts w:ascii="Arial" w:cs="Arial" w:eastAsia="Arial" w:hAnsi="Arial"/>
          <w:sz w:val="16"/>
          <w:szCs w:val="16"/>
          <w:color w:val="auto"/>
        </w:rPr>
        <w:t>The effective tax rate for the six months ended June 30, 2016 was 23.3% compared with 20.4% for the six months ended June 30, 2015. The increase was largely due to a benefit of $10.5 million recorded in the first six months of 2015, as a result of favorable tax rulings in Spain and another jurisdiction for which reserves were previously recorded as well as higher loss provisions, which were partially offset by lower cost of repatriation in 2016. Excluding the $0.6 million tax benefit associated with pretax restructuring, operational improvement initiatives and acquisition related costs and the $0.4 million charge related to the Spanish capital tax settlement in the current period, the 2016 period adjusted effective tax rate was 23.3%, or 40 bps lower than the 2015 period adjusted effective tax rate of 23.7%. The 2015 adjusted effective tax rate excluded $1.1 million of tax benefit associated with pretax restructuring, operational improvement initiative and acquisition related costs and the $10.5 million settlement related to the favorable tax ruling discussed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had cash and cash equivalents of $540.0 million at June 30, 2016 compared to $182.0 million at December 31, 2015, of which $357.8 million of the balance at June 30, 2016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provided by operating activities in the first six months of 2016 was $154.6 million compared to $166.3 million in the first six months of 2015. The decrease in operating cash flows for the first six months of 2016 compared to 2015 was principally driven by increased core working capital requirements partially offset by lower pension contributions for the 2016 period as compared to 2015 period.</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Working capital (current assets less current liabilities) totaled $1,241.2 million at June 30, 2016, compared to $712.0 million at December 31, 2015.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from operations from participating in these programs increased approximately $17.7 million for the six months ended June 30, 2016 compared to an increase of approximately $1.3 million for the six months ended June 30, 2015. The cost of participating in these programs was immaterial to our results in all periods.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Net investing activities during the first six months of 2016 used $40.2 million compared to $215.0 million in the prior year period. The decrease in cash used in investing activities principally reflects the acquisition of Ottens Flavors during the 2015 period. Additions to property, plant and equipment were $43.2 million during the first six months of 2016 compared to $37.9 million in the first six months of 2015. We expect additions to property, plant and equipment will be approximately 5% of our sales (net of potential grants and other reimbursements from government authorities) in 2016.</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financing activities in the first six months of 2016 provided $253.1 million of cash inflows compared to a use of $47.0 million in the first six months of 2015. The increase in cash provided by financing activities principally reflects the issuance of our Euro Senior Notes - 2016 (as discussed in Note 6 to the Consolidated Financial Statements), which was only partially offset by the repayment of our credit facility, higher treasury stock purchases and higher dividend payments during 2016 as compared to 2015.</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2016, we had $1,491.2 million of debt outstanding compared to $1,067.7 million outstanding at December 31, 2015.</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paid dividends totaling $89.5 million in the 2016 period. We declared a cash dividend per share of $0.56 in the second quarter of 2016 that was paid on July 7, 2016 to all shareholders of record as of June 27, 2016.</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65" w:right="239" w:bottom="1440" w:gutter="0" w:footer="0" w:header="0"/>
        </w:sectPr>
      </w:pPr>
    </w:p>
    <w:bookmarkStart w:id="27" w:name="page28"/>
    <w:bookmarkEnd w:id="27"/>
    <w:p>
      <w:pPr>
        <w:ind w:firstLine="432"/>
        <w:spacing w:after="0" w:line="270"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$165.0 million available under the amended repurchase program, approximately 1.3 million shares, or 1.6% of shares outstanding (based on the market price and shares outstanding as of June 30, 2016) could be repurchased under the program as of June 30, 2016. The purchases will be made from time to time on the open market or through private transactions as market and business conditions warrant. Repurchased shares will be placed into treasury stock. During the three months ended June 30, 2016, we repurchased 258,890 shares on the open market at an aggregate cost of $31.7 million or an average of $122.47 per share. During the six months ended June 30, 2016, we repurchased 622,224 shares on the open market at an aggregate cost of $71.7 million or an average of $115.25 per share. The ultimate level of purchases will be a function of the daily purchase limits established in the pre-approved program according to the share price at that time.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six months of 2016 or 2015.</w:t>
      </w:r>
    </w:p>
    <w:p>
      <w:pPr>
        <w:spacing w:after="0" w:line="11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expect to contribute a total of approximately $30 million to our non-U.S. pension plans and $20 million to our U.S. pension plans during 2016. During the six months ended June 30, 2016, $20.0 million contributions were made to our qualified U.S. pension plans and $17.3 million contributions were made to our non-U.S. pension plans.</w:t>
      </w:r>
    </w:p>
    <w:p>
      <w:pPr>
        <w:spacing w:after="0" w:line="12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March 14, 2016, we issued Euro 500.0 million face amount of 1.75% Senior Notes ("Euro Senior Notes - 2016") due 2024 at a discount of Euro 0.9 million. The Company received proceeds related to the issuance of these Euro Senior Notes - 2016 of Euro 496.0 million which was net of the Euro 0.9 million discount and Euro 3.1 million underwriting discount (recorded as deferred financing costs). In addition, the Company incurred $1.3 million of other deferred financing costs in connection with the debt issuance. The discount and deferred financing costs are being amortized as interest expense over the term of the Euro Senior Notes - 2016. The Euro Senior Notes - 2016 bear interest at a rate of 1.75% per annum, with interest payable on March 14 of each year, commencing on March 14, 2017. The Euro Senior Notes - 2016 will mature on March 14, 2024. See Note 6 to the Consolidated Financial Statements for further information.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12, 2016, the Company made a payment of $125.0 million related to our Senior Notes - 2006.</w:t>
      </w:r>
    </w:p>
    <w:p>
      <w:pPr>
        <w:spacing w:after="0" w:line="171"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As of June 30, 2016, we had no borrowings under our revolving credit facility. The amount which we are able to draw down on under the facility is limited by financial covenants as described in more detail below. Our draw down capacity on the facility was $950.0 million at June 30, 2016.</w:t>
      </w:r>
    </w:p>
    <w:p>
      <w:pPr>
        <w:spacing w:after="0" w:line="70"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June 30, 2016 our covenant compliance provided overall borrowing capacity of $1,448 million.</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6"/>
          <w:szCs w:val="16"/>
          <w:color w:val="auto"/>
        </w:rPr>
        <w:t xml:space="preserve">At June 30, 2016, we were in compliance with all financial and other covenants, including the net debt to adjusted EBITDA ratio. At June 30, 2016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1.29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63" w:lineRule="exact"/>
        <w:rPr>
          <w:sz w:val="20"/>
          <w:szCs w:val="20"/>
          <w:color w:val="auto"/>
        </w:rPr>
      </w:pPr>
    </w:p>
    <w:p>
      <w:pPr>
        <w:ind w:left="540" w:right="60" w:hanging="316"/>
        <w:spacing w:after="0" w:line="259" w:lineRule="auto"/>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652"/>
              <w:spacing w:after="0"/>
              <w:rPr>
                <w:sz w:val="20"/>
                <w:szCs w:val="20"/>
                <w:color w:val="auto"/>
              </w:rPr>
            </w:pPr>
            <w:r>
              <w:rPr>
                <w:rFonts w:ascii="Arial" w:cs="Arial" w:eastAsia="Arial" w:hAnsi="Arial"/>
                <w:sz w:val="14"/>
                <w:szCs w:val="14"/>
                <w:i w:val="1"/>
                <w:iCs w:val="1"/>
                <w:color w:val="auto"/>
              </w:rPr>
              <w:t>Twelve Months Ended June 30,</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420.8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431.2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51.2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45.5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98.2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81.4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15.0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0.8</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20.4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19.3</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737.4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700.1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720" w:hanging="332"/>
        <w:spacing w:after="0" w:line="258"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June 30, 2016 of $15.0 million consist of costs associated with restructuring and the acceleration of the contingent consideration related to the Aromor acquisition as discussed in our 2015 Form 10-K.</w:t>
      </w:r>
    </w:p>
    <w:p>
      <w:pPr>
        <w:spacing w:after="0" w:line="1" w:lineRule="exact"/>
        <w:rPr>
          <w:rFonts w:ascii="Arial" w:cs="Arial" w:eastAsia="Arial" w:hAnsi="Arial"/>
          <w:sz w:val="18"/>
          <w:szCs w:val="18"/>
          <w:i w:val="1"/>
          <w:iCs w:val="1"/>
          <w:color w:val="auto"/>
        </w:rPr>
      </w:pPr>
    </w:p>
    <w:p>
      <w:pPr>
        <w:ind w:left="340" w:right="120" w:hanging="332"/>
        <w:spacing w:after="0" w:line="261"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stock-based compensation and pension settlement/curtailment.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June 30,</w:t>
            </w:r>
          </w:p>
        </w:tc>
        <w:tc>
          <w:tcPr>
            <w:tcW w:w="116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1,491.2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998.0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(377.3)</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948.9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616.5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As discussed in Note 13 to the Consolidated Financial Statements, at June 30, 2016,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our expectations concerning (i) expected cost pressures in 2016, (ii) capital spending in 2016, (iii) cash flows to fund future operations and to meet debt service requirements, and (iv) our plans and intentions to indefinitely reinvest undistributed foreign earnings in our foreign 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1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implement our Vision 2020 strategy;</w:t>
      </w:r>
    </w:p>
    <w:p>
      <w:pPr>
        <w:spacing w:after="0" w:line="23"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identify and complete acquisitions in line with our Vision 2020 strategy, and to realize the anticipated benefits of those acquisitions;</w:t>
      </w:r>
    </w:p>
    <w:p>
      <w:pPr>
        <w:ind w:left="660" w:right="6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a decline in consumer confidence and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 including the devaluation of the Euro;</w:t>
      </w:r>
    </w:p>
    <w:p>
      <w:pPr>
        <w:spacing w:after="0" w:line="20" w:lineRule="exact"/>
        <w:rPr>
          <w:rFonts w:ascii="Arial" w:cs="Arial" w:eastAsia="Arial" w:hAnsi="Arial"/>
          <w:sz w:val="17"/>
          <w:szCs w:val="17"/>
          <w:color w:val="auto"/>
        </w:rPr>
      </w:pPr>
    </w:p>
    <w:p>
      <w:pPr>
        <w:ind w:left="660" w:right="70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 including challenging economic conditions in China and Latin America;</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29" w:name="page30"/>
    <w:bookmarkEnd w:id="29"/>
    <w:p>
      <w:pPr>
        <w:ind w:left="660" w:right="4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legal and regulatory developments, as well as restrictions or costs that may be imposed on us or our operations by U.S. and foreign governments;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any failure of our key information technology systems or a breach of information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realize expected cost savings and efficiencies from our profitability improvement initiatives and other optimization activities;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660" w:right="5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2015 Form 10-K for additional information regarding factors that could affect our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 uses non-GAAP financial operating measures in this Quarterly Report, including: (i) currency neutral sales (which eliminates the effects that result from translating its international sales in U.S. dollars), (ii) adjusted operating profit and adjusted operating margin (which excludes the acquisition related costs, operational improvement initiative costs, restructuring charges and tax settlements), (iii) adjusted selling and administrative expenses (which excludes the benefit related to the Spanish capital tax settlement and (iv) adjusted effective tax rate (which excludes acquisition related costs, operational improvement initiative costs, restructuring charges and tax settlements).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 2016 Quarter-to-Date Reconciliations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jc w:val="center"/>
              <w:ind w:right="820"/>
              <w:spacing w:after="0"/>
              <w:rPr>
                <w:sz w:val="20"/>
                <w:szCs w:val="20"/>
                <w:color w:val="auto"/>
              </w:rPr>
            </w:pPr>
            <w:r>
              <w:rPr>
                <w:rFonts w:ascii="Arial" w:cs="Arial" w:eastAsia="Arial" w:hAnsi="Arial"/>
                <w:sz w:val="18"/>
                <w:szCs w:val="18"/>
                <w:b w:val="1"/>
                <w:bCs w:val="1"/>
                <w:color w:val="auto"/>
                <w:w w:val="91"/>
              </w:rPr>
              <w:t>Second Quarter 2016</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00" w:type="dxa"/>
            <w:vAlign w:val="bottom"/>
            <w:gridSpan w:val="8"/>
          </w:tcPr>
          <w:p>
            <w:pPr>
              <w:jc w:val="center"/>
              <w:ind w:left="450"/>
              <w:spacing w:after="0"/>
              <w:rPr>
                <w:sz w:val="20"/>
                <w:szCs w:val="20"/>
                <w:color w:val="auto"/>
              </w:rPr>
            </w:pPr>
            <w:r>
              <w:rPr>
                <w:rFonts w:ascii="Arial" w:cs="Arial" w:eastAsia="Arial" w:hAnsi="Arial"/>
                <w:sz w:val="18"/>
                <w:szCs w:val="18"/>
                <w:b w:val="1"/>
                <w:bCs w:val="1"/>
                <w:color w:val="auto"/>
                <w:w w:val="93"/>
              </w:rPr>
              <w:t>Items Impacting Comparability</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6"/>
          </w:tcPr>
          <w:p>
            <w:pPr>
              <w:jc w:val="center"/>
              <w:ind w:right="820"/>
              <w:spacing w:after="0"/>
              <w:rPr>
                <w:sz w:val="20"/>
                <w:szCs w:val="20"/>
                <w:color w:val="auto"/>
              </w:rPr>
            </w:pPr>
            <w:r>
              <w:rPr>
                <w:rFonts w:ascii="Arial" w:cs="Arial" w:eastAsia="Arial" w:hAnsi="Arial"/>
                <w:sz w:val="18"/>
                <w:szCs w:val="18"/>
                <w:b w:val="1"/>
                <w:bCs w:val="1"/>
                <w:color w:val="auto"/>
                <w:w w:val="90"/>
              </w:rPr>
              <w:t>Adjusted Gross Profit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Operational</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1"/>
              </w:rPr>
              <w:t>Restructuring and</w:t>
            </w:r>
          </w:p>
        </w:tc>
        <w:tc>
          <w:tcPr>
            <w:tcW w:w="216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4"/>
              </w:rPr>
              <w:t>Improvement Initiative</w:t>
            </w: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Reported (GAAP)</w:t>
            </w:r>
          </w:p>
        </w:tc>
        <w:tc>
          <w:tcPr>
            <w:tcW w:w="21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Other Charges (a)</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Costs (b)</w:t>
            </w:r>
          </w:p>
        </w:tc>
        <w:tc>
          <w:tcPr>
            <w:tcW w:w="160" w:type="dxa"/>
            <w:vAlign w:val="bottom"/>
          </w:tcPr>
          <w:p>
            <w:pPr>
              <w:spacing w:after="0"/>
              <w:rPr>
                <w:sz w:val="20"/>
                <w:szCs w:val="20"/>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Adjusted (Non-GAAP)</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right w:val="single" w:sz="8" w:color="CCEEFF"/>
            </w:tcBorders>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365,641</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366,654</w:t>
            </w:r>
          </w:p>
        </w:tc>
      </w:tr>
      <w:tr>
        <w:trPr>
          <w:trHeight w:val="5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9"/>
              </w:rPr>
              <w:t>Second Quarter 2016</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3"/>
              </w:rPr>
              <w:t>Items Impacting Comparability</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360" w:type="dxa"/>
            <w:vAlign w:val="bottom"/>
            <w:gridSpan w:val="11"/>
          </w:tcPr>
          <w:p>
            <w:pPr>
              <w:jc w:val="center"/>
              <w:ind w:right="1120"/>
              <w:spacing w:after="0"/>
              <w:rPr>
                <w:sz w:val="20"/>
                <w:szCs w:val="20"/>
                <w:color w:val="auto"/>
              </w:rPr>
            </w:pPr>
            <w:r>
              <w:rPr>
                <w:rFonts w:ascii="Arial" w:cs="Arial" w:eastAsia="Arial" w:hAnsi="Arial"/>
                <w:sz w:val="18"/>
                <w:szCs w:val="18"/>
                <w:b w:val="1"/>
                <w:bCs w:val="1"/>
                <w:color w:val="auto"/>
                <w:w w:val="88"/>
              </w:rPr>
              <w:t>Adjusted Selling and administrative expenses</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89"/>
              </w:rPr>
              <w:t>Acquisition and Related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20" w:type="dxa"/>
            <w:vAlign w:val="bottom"/>
            <w:gridSpan w:val="5"/>
          </w:tcPr>
          <w:p>
            <w:pPr>
              <w:ind w:left="500"/>
              <w:spacing w:after="0"/>
              <w:rPr>
                <w:sz w:val="20"/>
                <w:szCs w:val="20"/>
                <w:color w:val="auto"/>
              </w:rPr>
            </w:pPr>
            <w:r>
              <w:rPr>
                <w:rFonts w:ascii="Arial" w:cs="Arial" w:eastAsia="Arial" w:hAnsi="Arial"/>
                <w:sz w:val="18"/>
                <w:szCs w:val="18"/>
                <w:b w:val="1"/>
                <w:bCs w:val="1"/>
                <w:color w:val="auto"/>
              </w:rPr>
              <w:t>Reported (GAAP)</w:t>
            </w:r>
          </w:p>
        </w:tc>
        <w:tc>
          <w:tcPr>
            <w:tcW w:w="740" w:type="dxa"/>
            <w:vAlign w:val="bottom"/>
          </w:tcPr>
          <w:p>
            <w:pPr>
              <w:spacing w:after="0"/>
              <w:rPr>
                <w:sz w:val="20"/>
                <w:szCs w:val="20"/>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Costs (c)</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4"/>
              </w:rPr>
              <w:t>Adjusted (Non-GAAP)</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Selling and administrative expenses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132,784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5"/>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132,571</w:t>
            </w:r>
          </w:p>
        </w:tc>
      </w:tr>
      <w:tr>
        <w:trPr>
          <w:trHeight w:val="5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Second Quarter 2016</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3"/>
              </w:rPr>
              <w:t>Items Impacting Comparability</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Adjusted Operating Profit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Operational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Restructuring</w:t>
            </w:r>
          </w:p>
        </w:tc>
        <w:tc>
          <w:tcPr>
            <w:tcW w:w="14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Improvement</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18"/>
                <w:szCs w:val="18"/>
                <w:color w:val="auto"/>
              </w:rPr>
            </w:pPr>
          </w:p>
        </w:tc>
        <w:tc>
          <w:tcPr>
            <w:tcW w:w="21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0"/>
              </w:rPr>
              <w:t>Adjusted</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and Other</w:t>
            </w:r>
          </w:p>
        </w:tc>
        <w:tc>
          <w:tcPr>
            <w:tcW w:w="14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0"/>
              </w:rPr>
              <w:t>Initiative Costs</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Related Costs</w:t>
            </w:r>
          </w:p>
        </w:tc>
        <w:tc>
          <w:tcPr>
            <w:tcW w:w="160" w:type="dxa"/>
            <w:vAlign w:val="bottom"/>
          </w:tcPr>
          <w:p>
            <w:pPr>
              <w:spacing w:after="0"/>
              <w:rPr>
                <w:sz w:val="18"/>
                <w:szCs w:val="18"/>
                <w:color w:val="auto"/>
              </w:rPr>
            </w:pPr>
          </w:p>
        </w:tc>
        <w:tc>
          <w:tcPr>
            <w:tcW w:w="2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3"/>
              </w:rPr>
              <w:t>(Non-</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(GAAP)</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Charges (a)</w:t>
            </w:r>
          </w:p>
        </w:tc>
        <w:tc>
          <w:tcPr>
            <w:tcW w:w="14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5"/>
              </w:rPr>
              <w:t>(b)</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(c)</w:t>
            </w:r>
          </w:p>
        </w:tc>
        <w:tc>
          <w:tcPr>
            <w:tcW w:w="160" w:type="dxa"/>
            <w:vAlign w:val="bottom"/>
          </w:tcPr>
          <w:p>
            <w:pPr>
              <w:spacing w:after="0"/>
              <w:rPr>
                <w:sz w:val="20"/>
                <w:szCs w:val="20"/>
                <w:color w:val="auto"/>
              </w:rPr>
            </w:pPr>
          </w:p>
        </w:tc>
        <w:tc>
          <w:tcPr>
            <w:tcW w:w="21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9"/>
              </w:rPr>
              <w:t>GAAP)</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Operating profit</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164,475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left="970"/>
              <w:spacing w:after="0"/>
              <w:rPr>
                <w:sz w:val="20"/>
                <w:szCs w:val="20"/>
                <w:color w:val="auto"/>
              </w:rPr>
            </w:pPr>
            <w:r>
              <w:rPr>
                <w:rFonts w:ascii="Arial" w:cs="Arial" w:eastAsia="Arial" w:hAnsi="Arial"/>
                <w:sz w:val="18"/>
                <w:szCs w:val="18"/>
                <w:color w:val="auto"/>
                <w:w w:val="86"/>
              </w:rPr>
              <w:t>182</w:t>
            </w:r>
          </w:p>
        </w:tc>
        <w:tc>
          <w:tcPr>
            <w:tcW w:w="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165,701</w:t>
            </w:r>
          </w:p>
        </w:tc>
        <w:tc>
          <w:tcPr>
            <w:tcW w:w="1100" w:type="dxa"/>
            <w:vAlign w:val="bottom"/>
          </w:tcPr>
          <w:p>
            <w:pPr>
              <w:spacing w:after="0"/>
              <w:rPr>
                <w:sz w:val="21"/>
                <w:szCs w:val="21"/>
                <w:color w:val="auto"/>
              </w:rPr>
            </w:pPr>
          </w:p>
        </w:tc>
      </w:tr>
      <w:tr>
        <w:trPr>
          <w:trHeight w:val="59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Second Quarter 2016</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00" w:type="dxa"/>
            <w:vAlign w:val="bottom"/>
            <w:gridSpan w:val="8"/>
          </w:tcPr>
          <w:p>
            <w:pPr>
              <w:jc w:val="center"/>
              <w:ind w:right="20"/>
              <w:spacing w:after="0"/>
              <w:rPr>
                <w:sz w:val="20"/>
                <w:szCs w:val="20"/>
                <w:color w:val="auto"/>
              </w:rPr>
            </w:pPr>
            <w:r>
              <w:rPr>
                <w:rFonts w:ascii="Arial" w:cs="Arial" w:eastAsia="Arial" w:hAnsi="Arial"/>
                <w:sz w:val="18"/>
                <w:szCs w:val="18"/>
                <w:b w:val="1"/>
                <w:bCs w:val="1"/>
                <w:color w:val="auto"/>
                <w:w w:val="93"/>
              </w:rPr>
              <w:t>Items Impacting Comparability</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10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0"/>
              </w:rPr>
              <w:t>Adjusted Net Income</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Operational</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Restructuring</w:t>
            </w: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Improvement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Acquisition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Initiative Costs</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Related Costs</w:t>
            </w:r>
          </w:p>
        </w:tc>
        <w:tc>
          <w:tcPr>
            <w:tcW w:w="160" w:type="dxa"/>
            <w:vAlign w:val="bottom"/>
          </w:tcPr>
          <w:p>
            <w:pPr>
              <w:spacing w:after="0"/>
              <w:rPr>
                <w:sz w:val="18"/>
                <w:szCs w:val="18"/>
                <w:color w:val="auto"/>
              </w:rPr>
            </w:pPr>
          </w:p>
        </w:tc>
        <w:tc>
          <w:tcPr>
            <w:tcW w:w="210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w w:val="96"/>
              </w:rPr>
              <w:t>Adjusted</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(GAAP)</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Charges (a)</w:t>
            </w:r>
          </w:p>
        </w:tc>
        <w:tc>
          <w:tcPr>
            <w:tcW w:w="740" w:type="dxa"/>
            <w:vAlign w:val="bottom"/>
          </w:tcPr>
          <w:p>
            <w:pPr>
              <w:jc w:val="center"/>
              <w:ind w:left="430"/>
              <w:spacing w:after="0"/>
              <w:rPr>
                <w:sz w:val="20"/>
                <w:szCs w:val="20"/>
                <w:color w:val="auto"/>
              </w:rPr>
            </w:pPr>
            <w:r>
              <w:rPr>
                <w:rFonts w:ascii="Arial" w:cs="Arial" w:eastAsia="Arial" w:hAnsi="Arial"/>
                <w:sz w:val="18"/>
                <w:szCs w:val="18"/>
                <w:b w:val="1"/>
                <w:bCs w:val="1"/>
                <w:color w:val="auto"/>
                <w:w w:val="95"/>
              </w:rPr>
              <w:t>(b)</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w:t>
            </w:r>
          </w:p>
        </w:tc>
        <w:tc>
          <w:tcPr>
            <w:tcW w:w="2260" w:type="dxa"/>
            <w:vAlign w:val="bottom"/>
            <w:gridSpan w:val="3"/>
          </w:tcPr>
          <w:p>
            <w:pPr>
              <w:jc w:val="right"/>
              <w:ind w:right="1180"/>
              <w:spacing w:after="0"/>
              <w:rPr>
                <w:sz w:val="20"/>
                <w:szCs w:val="20"/>
                <w:color w:val="auto"/>
              </w:rPr>
            </w:pPr>
            <w:r>
              <w:rPr>
                <w:rFonts w:ascii="Arial" w:cs="Arial" w:eastAsia="Arial" w:hAnsi="Arial"/>
                <w:sz w:val="18"/>
                <w:szCs w:val="18"/>
                <w:b w:val="1"/>
                <w:bCs w:val="1"/>
                <w:color w:val="auto"/>
              </w:rPr>
              <w:t>(Non-GAAP)</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780" w:type="dxa"/>
            <w:vAlign w:val="bottom"/>
            <w:tcBorders>
              <w:right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Income before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153,276</w:t>
            </w:r>
          </w:p>
        </w:tc>
        <w:tc>
          <w:tcPr>
            <w:tcW w:w="1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780" w:type="dxa"/>
            <w:vAlign w:val="bottom"/>
            <w:gridSpan w:val="2"/>
          </w:tcPr>
          <w:p>
            <w:pPr>
              <w:jc w:val="right"/>
              <w:ind w:right="10"/>
              <w:spacing w:after="0"/>
              <w:rPr>
                <w:sz w:val="20"/>
                <w:szCs w:val="20"/>
                <w:color w:val="auto"/>
              </w:rPr>
            </w:pPr>
            <w:r>
              <w:rPr>
                <w:rFonts w:ascii="Arial" w:cs="Arial" w:eastAsia="Arial" w:hAnsi="Arial"/>
                <w:sz w:val="18"/>
                <w:szCs w:val="18"/>
                <w:color w:val="auto"/>
              </w:rPr>
              <w:t>Taxes on income (d)</w:t>
            </w:r>
          </w:p>
        </w:tc>
        <w:tc>
          <w:tcPr>
            <w:tcW w:w="920" w:type="dxa"/>
            <w:vAlign w:val="bottom"/>
          </w:tcPr>
          <w:p>
            <w:pPr>
              <w:jc w:val="right"/>
              <w:spacing w:after="0"/>
              <w:rPr>
                <w:sz w:val="20"/>
                <w:szCs w:val="20"/>
                <w:color w:val="auto"/>
              </w:rPr>
            </w:pPr>
            <w:r>
              <w:rPr>
                <w:rFonts w:ascii="Arial" w:cs="Arial" w:eastAsia="Arial" w:hAnsi="Arial"/>
                <w:sz w:val="18"/>
                <w:szCs w:val="18"/>
                <w:color w:val="auto"/>
              </w:rPr>
              <w:t>35,317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jc w:val="center"/>
              <w:ind w:left="50"/>
              <w:spacing w:after="0"/>
              <w:rPr>
                <w:sz w:val="20"/>
                <w:szCs w:val="20"/>
                <w:color w:val="auto"/>
              </w:rPr>
            </w:pPr>
            <w:r>
              <w:rPr>
                <w:rFonts w:ascii="Arial" w:cs="Arial" w:eastAsia="Arial" w:hAnsi="Arial"/>
                <w:sz w:val="18"/>
                <w:szCs w:val="18"/>
                <w:color w:val="auto"/>
                <w:w w:val="93"/>
              </w:rPr>
              <w:t>208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35,458</w:t>
            </w:r>
          </w:p>
        </w:tc>
        <w:tc>
          <w:tcPr>
            <w:tcW w:w="1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780" w:type="dxa"/>
            <w:vAlign w:val="bottom"/>
            <w:tcBorders>
              <w:right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623</w:t>
            </w: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117,818</w:t>
            </w:r>
          </w:p>
        </w:tc>
        <w:tc>
          <w:tcPr>
            <w:tcW w:w="11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Borders>
              <w:right w:val="single" w:sz="8" w:color="CCEEFF"/>
            </w:tcBorders>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2016 Quarter-to-Date Footnote Explanations:</w:t>
      </w:r>
    </w:p>
    <w:p>
      <w:pPr>
        <w:spacing w:after="0" w:line="23"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costs related to restructuring initiatives.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and severance costs in Asia.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Additional transaction costs related to acquisition of Lucas Meyer.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0"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B. 2015 Quarter-to-Date Reconciliations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89"/>
              </w:rPr>
              <w:t>Second Quarter 2015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3"/>
              </w:rPr>
              <w:t>Items Impacting Comparability</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0"/>
              </w:rPr>
              <w:t>Adjusted Gross Profit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960"/>
              <w:spacing w:after="0"/>
              <w:rPr>
                <w:sz w:val="20"/>
                <w:szCs w:val="20"/>
                <w:color w:val="auto"/>
              </w:rPr>
            </w:pPr>
            <w:r>
              <w:rPr>
                <w:rFonts w:ascii="Arial" w:cs="Arial" w:eastAsia="Arial" w:hAnsi="Arial"/>
                <w:sz w:val="18"/>
                <w:szCs w:val="18"/>
                <w:b w:val="1"/>
                <w:bCs w:val="1"/>
                <w:color w:val="auto"/>
              </w:rPr>
              <w:t>Operational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1"/>
              </w:rPr>
              <w:t>Reported</w:t>
            </w:r>
          </w:p>
        </w:tc>
        <w:tc>
          <w:tcPr>
            <w:tcW w:w="2360" w:type="dxa"/>
            <w:vAlign w:val="bottom"/>
            <w:gridSpan w:val="4"/>
          </w:tcPr>
          <w:p>
            <w:pPr>
              <w:ind w:left="520"/>
              <w:spacing w:after="0"/>
              <w:rPr>
                <w:sz w:val="20"/>
                <w:szCs w:val="20"/>
                <w:color w:val="auto"/>
              </w:rPr>
            </w:pPr>
            <w:r>
              <w:rPr>
                <w:rFonts w:ascii="Arial" w:cs="Arial" w:eastAsia="Arial" w:hAnsi="Arial"/>
                <w:sz w:val="18"/>
                <w:szCs w:val="18"/>
                <w:b w:val="1"/>
                <w:bCs w:val="1"/>
                <w:color w:val="auto"/>
                <w:w w:val="95"/>
              </w:rPr>
              <w:t>Improvement Initiative</w:t>
            </w:r>
          </w:p>
        </w:tc>
        <w:tc>
          <w:tcPr>
            <w:tcW w:w="16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Acquisition and</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6"/>
              </w:rPr>
              <w:t>Adjusted (Non-</w:t>
            </w:r>
          </w:p>
        </w:tc>
      </w:tr>
      <w:tr>
        <w:trPr>
          <w:trHeight w:val="234"/>
        </w:trPr>
        <w:tc>
          <w:tcPr>
            <w:tcW w:w="1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9"/>
              </w:rPr>
              <w:t>(GAAP)</w:t>
            </w:r>
          </w:p>
        </w:tc>
        <w:tc>
          <w:tcPr>
            <w:tcW w:w="2360" w:type="dxa"/>
            <w:vAlign w:val="bottom"/>
            <w:gridSpan w:val="4"/>
          </w:tcPr>
          <w:p>
            <w:pPr>
              <w:ind w:left="1080"/>
              <w:spacing w:after="0"/>
              <w:rPr>
                <w:sz w:val="20"/>
                <w:szCs w:val="20"/>
                <w:color w:val="auto"/>
              </w:rPr>
            </w:pPr>
            <w:r>
              <w:rPr>
                <w:rFonts w:ascii="Arial" w:cs="Arial" w:eastAsia="Arial" w:hAnsi="Arial"/>
                <w:sz w:val="18"/>
                <w:szCs w:val="18"/>
                <w:b w:val="1"/>
                <w:bCs w:val="1"/>
                <w:color w:val="auto"/>
              </w:rPr>
              <w:t>Costs (b)</w:t>
            </w: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Related Costs (c)</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GAAP)</w:t>
            </w:r>
          </w:p>
        </w:tc>
      </w:tr>
      <w:tr>
        <w:trPr>
          <w:trHeight w:val="27"/>
        </w:trPr>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w w:val="93"/>
              </w:rPr>
              <w:t>Gross profit</w:t>
            </w:r>
          </w:p>
        </w:tc>
        <w:tc>
          <w:tcPr>
            <w:tcW w:w="2400" w:type="dxa"/>
            <w:vAlign w:val="bottom"/>
            <w:tcBorders>
              <w:bottom w:val="single" w:sz="8" w:color="CCEEFF"/>
            </w:tcBorders>
            <w:gridSpan w:val="5"/>
            <w:shd w:val="clear" w:color="auto" w:fill="CCEEFF"/>
          </w:tcPr>
          <w:p>
            <w:pPr>
              <w:jc w:val="right"/>
              <w:ind w:right="950"/>
              <w:spacing w:after="0"/>
              <w:rPr>
                <w:sz w:val="20"/>
                <w:szCs w:val="20"/>
                <w:color w:val="auto"/>
              </w:rPr>
            </w:pPr>
            <w:r>
              <w:rPr>
                <w:rFonts w:ascii="Arial" w:cs="Arial" w:eastAsia="Arial" w:hAnsi="Arial"/>
                <w:sz w:val="18"/>
                <w:szCs w:val="18"/>
                <w:color w:val="auto"/>
              </w:rPr>
              <w:t>345,040</w:t>
            </w:r>
          </w:p>
        </w:tc>
        <w:tc>
          <w:tcPr>
            <w:tcW w:w="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346,165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w w:val="89"/>
              </w:rPr>
              <w:t>Second Quarter 2015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ind w:left="940"/>
              <w:spacing w:after="0"/>
              <w:rPr>
                <w:sz w:val="20"/>
                <w:szCs w:val="20"/>
                <w:color w:val="auto"/>
              </w:rPr>
            </w:pPr>
            <w:r>
              <w:rPr>
                <w:rFonts w:ascii="Arial" w:cs="Arial" w:eastAsia="Arial" w:hAnsi="Arial"/>
                <w:sz w:val="18"/>
                <w:szCs w:val="18"/>
                <w:b w:val="1"/>
                <w:bCs w:val="1"/>
                <w:color w:val="auto"/>
              </w:rPr>
              <w:t>Items Impacting Comparability</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right"/>
              <w:spacing w:after="0"/>
              <w:rPr>
                <w:sz w:val="20"/>
                <w:szCs w:val="20"/>
                <w:color w:val="auto"/>
              </w:rPr>
            </w:pPr>
            <w:r>
              <w:rPr>
                <w:rFonts w:ascii="Arial" w:cs="Arial" w:eastAsia="Arial" w:hAnsi="Arial"/>
                <w:sz w:val="18"/>
                <w:szCs w:val="18"/>
                <w:b w:val="1"/>
                <w:bCs w:val="1"/>
                <w:color w:val="auto"/>
                <w:w w:val="98"/>
              </w:rPr>
              <w:t>Adjusted Selling and Administrative Expenses</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Acquisition and Related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ind w:left="200"/>
              <w:spacing w:after="0"/>
              <w:rPr>
                <w:sz w:val="20"/>
                <w:szCs w:val="20"/>
                <w:color w:val="auto"/>
              </w:rPr>
            </w:pPr>
            <w:r>
              <w:rPr>
                <w:rFonts w:ascii="Arial" w:cs="Arial" w:eastAsia="Arial" w:hAnsi="Arial"/>
                <w:sz w:val="18"/>
                <w:szCs w:val="18"/>
                <w:b w:val="1"/>
                <w:bCs w:val="1"/>
                <w:color w:val="auto"/>
              </w:rPr>
              <w:t>Reported (GAAP)</w:t>
            </w:r>
          </w:p>
        </w:tc>
        <w:tc>
          <w:tcPr>
            <w:tcW w:w="80" w:type="dxa"/>
            <w:vAlign w:val="bottom"/>
          </w:tcPr>
          <w:p>
            <w:pPr>
              <w:spacing w:after="0"/>
              <w:rPr>
                <w:sz w:val="20"/>
                <w:szCs w:val="20"/>
                <w:color w:val="auto"/>
              </w:rPr>
            </w:pPr>
          </w:p>
        </w:tc>
        <w:tc>
          <w:tcPr>
            <w:tcW w:w="940" w:type="dxa"/>
            <w:vAlign w:val="bottom"/>
          </w:tcPr>
          <w:p>
            <w:pPr>
              <w:jc w:val="center"/>
              <w:ind w:left="30"/>
              <w:spacing w:after="0"/>
              <w:rPr>
                <w:sz w:val="20"/>
                <w:szCs w:val="20"/>
                <w:color w:val="auto"/>
              </w:rPr>
            </w:pPr>
            <w:r>
              <w:rPr>
                <w:rFonts w:ascii="Arial" w:cs="Arial" w:eastAsia="Arial" w:hAnsi="Arial"/>
                <w:sz w:val="18"/>
                <w:szCs w:val="18"/>
                <w:b w:val="1"/>
                <w:bCs w:val="1"/>
                <w:color w:val="auto"/>
                <w:w w:val="85"/>
              </w:rPr>
              <w:t>Costs (c)</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4"/>
          </w:tcPr>
          <w:p>
            <w:pPr>
              <w:ind w:left="520"/>
              <w:spacing w:after="0"/>
              <w:rPr>
                <w:sz w:val="20"/>
                <w:szCs w:val="20"/>
                <w:color w:val="auto"/>
              </w:rPr>
            </w:pPr>
            <w:r>
              <w:rPr>
                <w:rFonts w:ascii="Arial" w:cs="Arial" w:eastAsia="Arial" w:hAnsi="Arial"/>
                <w:sz w:val="18"/>
                <w:szCs w:val="18"/>
                <w:b w:val="1"/>
                <w:bCs w:val="1"/>
                <w:color w:val="auto"/>
              </w:rPr>
              <w:t>Adjusted (Non-GAAP)</w:t>
            </w:r>
          </w:p>
        </w:tc>
      </w:tr>
      <w:tr>
        <w:trPr>
          <w:trHeight w:val="27"/>
        </w:trPr>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90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b w:val="1"/>
                <w:bCs w:val="1"/>
                <w:color w:val="auto"/>
              </w:rPr>
              <w:t>Selling and administrative expenses</w:t>
            </w:r>
          </w:p>
        </w:tc>
        <w:tc>
          <w:tcPr>
            <w:tcW w:w="1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131,023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950"/>
              <w:spacing w:after="0"/>
              <w:rPr>
                <w:sz w:val="20"/>
                <w:szCs w:val="20"/>
                <w:color w:val="auto"/>
              </w:rPr>
            </w:pPr>
            <w:r>
              <w:rPr>
                <w:rFonts w:ascii="Arial" w:cs="Arial" w:eastAsia="Arial" w:hAnsi="Arial"/>
                <w:sz w:val="18"/>
                <w:szCs w:val="18"/>
                <w:color w:val="auto"/>
              </w:rPr>
              <w:t>(5,722)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125,301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89"/>
              </w:rPr>
              <w:t>Second Quarter 2015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3"/>
              </w:rPr>
              <w:t>Items Impacting Comparability</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92"/>
              </w:rPr>
              <w:t>Adjusted Operating Profit</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51"/>
        </w:trPr>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Operational</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Restructuring</w:t>
            </w:r>
          </w:p>
        </w:tc>
        <w:tc>
          <w:tcPr>
            <w:tcW w:w="8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Improvement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Acquisition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8"/>
                <w:szCs w:val="18"/>
                <w:b w:val="1"/>
                <w:bCs w:val="1"/>
                <w:color w:val="auto"/>
              </w:rPr>
              <w:t>Reported</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Initiative Costs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9"/>
              </w:rPr>
              <w:t>related costs</w:t>
            </w:r>
          </w:p>
        </w:tc>
        <w:tc>
          <w:tcPr>
            <w:tcW w:w="12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Adjusted</w:t>
            </w:r>
          </w:p>
        </w:tc>
      </w:tr>
      <w:tr>
        <w:trPr>
          <w:trHeight w:val="234"/>
        </w:trPr>
        <w:tc>
          <w:tcPr>
            <w:tcW w:w="1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(GAAP)</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Charges (a)</w:t>
            </w:r>
          </w:p>
        </w:tc>
        <w:tc>
          <w:tcPr>
            <w:tcW w:w="80" w:type="dxa"/>
            <w:vAlign w:val="bottom"/>
          </w:tcPr>
          <w:p>
            <w:pPr>
              <w:spacing w:after="0"/>
              <w:rPr>
                <w:sz w:val="20"/>
                <w:szCs w:val="20"/>
                <w:color w:val="auto"/>
              </w:rPr>
            </w:pPr>
          </w:p>
        </w:tc>
        <w:tc>
          <w:tcPr>
            <w:tcW w:w="94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(Non-GAAP)</w:t>
            </w:r>
          </w:p>
        </w:tc>
      </w:tr>
      <w:tr>
        <w:trPr>
          <w:trHeight w:val="27"/>
        </w:trPr>
        <w:tc>
          <w:tcPr>
            <w:tcW w:w="1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Operating profit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148,821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90"/>
              </w:rPr>
              <w:t>(358)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155,310</w:t>
            </w:r>
          </w:p>
        </w:tc>
        <w:tc>
          <w:tcPr>
            <w:tcW w:w="20" w:type="dxa"/>
            <w:vAlign w:val="bottom"/>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89"/>
              </w:rPr>
              <w:t>Second Quarter 2015</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3"/>
              </w:rPr>
              <w:t>Items Impacting Comparability</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0" w:type="dxa"/>
            <w:vAlign w:val="bottom"/>
            <w:gridSpan w:val="7"/>
          </w:tcPr>
          <w:p>
            <w:pPr>
              <w:jc w:val="center"/>
              <w:ind w:left="50"/>
              <w:spacing w:after="0"/>
              <w:rPr>
                <w:sz w:val="20"/>
                <w:szCs w:val="20"/>
                <w:color w:val="auto"/>
              </w:rPr>
            </w:pPr>
            <w:r>
              <w:rPr>
                <w:rFonts w:ascii="Arial" w:cs="Arial" w:eastAsia="Arial" w:hAnsi="Arial"/>
                <w:sz w:val="18"/>
                <w:szCs w:val="18"/>
                <w:b w:val="1"/>
                <w:bCs w:val="1"/>
                <w:color w:val="auto"/>
                <w:w w:val="90"/>
              </w:rPr>
              <w:t>Adjusted Net Income</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76"/>
        </w:trPr>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Operational</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Restructuring</w:t>
            </w:r>
          </w:p>
        </w:tc>
        <w:tc>
          <w:tcPr>
            <w:tcW w:w="8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Improvement</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Acquisition</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Reported</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and Other</w:t>
            </w:r>
          </w:p>
        </w:tc>
        <w:tc>
          <w:tcPr>
            <w:tcW w:w="8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Initiative Costs</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1"/>
              </w:rPr>
              <w:t>Related Costs</w:t>
            </w:r>
          </w:p>
        </w:tc>
        <w:tc>
          <w:tcPr>
            <w:tcW w:w="12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Adjusted</w:t>
            </w:r>
          </w:p>
        </w:tc>
      </w:tr>
      <w:tr>
        <w:trPr>
          <w:trHeight w:val="234"/>
        </w:trPr>
        <w:tc>
          <w:tcPr>
            <w:tcW w:w="1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b w:val="1"/>
                <w:bCs w:val="1"/>
                <w:color w:val="auto"/>
              </w:rPr>
              <w:t>(GAAP)</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Charges (a)</w:t>
            </w:r>
          </w:p>
        </w:tc>
        <w:tc>
          <w:tcPr>
            <w:tcW w:w="80" w:type="dxa"/>
            <w:vAlign w:val="bottom"/>
          </w:tcPr>
          <w:p>
            <w:pPr>
              <w:spacing w:after="0"/>
              <w:rPr>
                <w:sz w:val="20"/>
                <w:szCs w:val="20"/>
                <w:color w:val="auto"/>
              </w:rPr>
            </w:pPr>
          </w:p>
        </w:tc>
        <w:tc>
          <w:tcPr>
            <w:tcW w:w="94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7"/>
              </w:rPr>
              <w:t>(Non-GAAP)</w:t>
            </w:r>
          </w:p>
        </w:tc>
      </w:tr>
      <w:tr>
        <w:trPr>
          <w:trHeight w:val="27"/>
        </w:trPr>
        <w:tc>
          <w:tcPr>
            <w:tcW w:w="112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Income before taxes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143,467</w:t>
            </w:r>
          </w:p>
        </w:tc>
        <w:tc>
          <w:tcPr>
            <w:tcW w:w="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2800" w:type="dxa"/>
            <w:vAlign w:val="bottom"/>
            <w:gridSpan w:val="2"/>
          </w:tcPr>
          <w:p>
            <w:pPr>
              <w:jc w:val="right"/>
              <w:ind w:right="120"/>
              <w:spacing w:after="0"/>
              <w:rPr>
                <w:sz w:val="20"/>
                <w:szCs w:val="20"/>
                <w:color w:val="auto"/>
              </w:rPr>
            </w:pPr>
            <w:r>
              <w:rPr>
                <w:rFonts w:ascii="Arial" w:cs="Arial" w:eastAsia="Arial" w:hAnsi="Arial"/>
                <w:sz w:val="18"/>
                <w:szCs w:val="18"/>
                <w:color w:val="auto"/>
              </w:rPr>
              <w:t>Taxes on income (d)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31,604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32,424</w:t>
            </w:r>
          </w:p>
        </w:tc>
        <w:tc>
          <w:tcPr>
            <w:tcW w:w="2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Net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111,043</w:t>
            </w:r>
          </w:p>
        </w:tc>
        <w:tc>
          <w:tcPr>
            <w:tcW w:w="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2015 Quarter-to-Date Footnote Explanations:</w:t>
      </w:r>
    </w:p>
    <w:p>
      <w:pPr>
        <w:spacing w:after="0" w:line="2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Costs related to the Fragrance Ingredients Rationalization.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Accelerated depreciation related to a partial plant closing in Asia.</w:t>
      </w:r>
    </w:p>
    <w:p>
      <w:pPr>
        <w:spacing w:after="0" w:line="9" w:lineRule="exact"/>
        <w:rPr>
          <w:rFonts w:ascii="Arial" w:cs="Arial" w:eastAsia="Arial" w:hAnsi="Arial"/>
          <w:sz w:val="18"/>
          <w:szCs w:val="18"/>
          <w:color w:val="auto"/>
        </w:rPr>
      </w:pPr>
    </w:p>
    <w:p>
      <w:pPr>
        <w:ind w:firstLine="8"/>
        <w:spacing w:after="0" w:line="250"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Transaction costs related to acquisitions (Ottens Flavors and Lucas Meyer Cosmetics) as well as expense related to the fair value step up of inventory on the Ottens Flavors acquisition.</w:t>
      </w: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ectPr>
          <w:pgSz w:w="11900" w:h="16838" w:orient="portrait"/>
          <w:cols w:equalWidth="0" w:num="1">
            <w:col w:w="11280"/>
          </w:cols>
          <w:pgMar w:left="240" w:top="79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80"/>
          </w:cols>
          <w:pgMar w:left="240" w:top="796" w:right="37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w w:val="90"/>
              </w:rPr>
              <w:t>C. 2016 Year-to-Date Reconciliations</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9"/>
          </w:tcPr>
          <w:p>
            <w:pPr>
              <w:jc w:val="center"/>
              <w:ind w:right="710"/>
              <w:spacing w:after="0"/>
              <w:rPr>
                <w:sz w:val="20"/>
                <w:szCs w:val="20"/>
                <w:color w:val="auto"/>
              </w:rPr>
            </w:pPr>
            <w:r>
              <w:rPr>
                <w:rFonts w:ascii="Arial" w:cs="Arial" w:eastAsia="Arial" w:hAnsi="Arial"/>
                <w:sz w:val="18"/>
                <w:szCs w:val="18"/>
                <w:b w:val="1"/>
                <w:bCs w:val="1"/>
                <w:color w:val="auto"/>
                <w:w w:val="91"/>
              </w:rPr>
              <w:t>Second Quarter Year-to-Date 2016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20" w:type="dxa"/>
            <w:vAlign w:val="bottom"/>
            <w:gridSpan w:val="9"/>
          </w:tcPr>
          <w:p>
            <w:pPr>
              <w:jc w:val="center"/>
              <w:ind w:right="690"/>
              <w:spacing w:after="0"/>
              <w:rPr>
                <w:sz w:val="20"/>
                <w:szCs w:val="20"/>
                <w:color w:val="auto"/>
              </w:rPr>
            </w:pPr>
            <w:r>
              <w:rPr>
                <w:rFonts w:ascii="Arial" w:cs="Arial" w:eastAsia="Arial" w:hAnsi="Arial"/>
                <w:sz w:val="18"/>
                <w:szCs w:val="18"/>
                <w:b w:val="1"/>
                <w:bCs w:val="1"/>
                <w:color w:val="auto"/>
                <w:w w:val="93"/>
              </w:rPr>
              <w:t>Items Impacting Comparability</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0"/>
              </w:rPr>
              <w:t>Adjusted Gross Profit</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1"/>
              </w:rPr>
              <w:t>Restructuring</w:t>
            </w:r>
          </w:p>
        </w:tc>
        <w:tc>
          <w:tcPr>
            <w:tcW w:w="19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3"/>
              </w:rPr>
              <w:t>Operational</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4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4"/>
              </w:rPr>
              <w:t>and Other</w:t>
            </w:r>
          </w:p>
        </w:tc>
        <w:tc>
          <w:tcPr>
            <w:tcW w:w="19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3"/>
              </w:rPr>
              <w:t>Improvement</w:t>
            </w:r>
          </w:p>
        </w:tc>
        <w:tc>
          <w:tcPr>
            <w:tcW w:w="15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Acquisition</w:t>
            </w:r>
          </w:p>
        </w:tc>
        <w:tc>
          <w:tcPr>
            <w:tcW w:w="1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Adjusted</w:t>
            </w:r>
          </w:p>
        </w:tc>
        <w:tc>
          <w:tcPr>
            <w:tcW w:w="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(GAAP)</w:t>
            </w:r>
          </w:p>
        </w:tc>
        <w:tc>
          <w:tcPr>
            <w:tcW w:w="14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8"/>
              </w:rPr>
              <w:t>Charges (a)</w:t>
            </w:r>
          </w:p>
        </w:tc>
        <w:tc>
          <w:tcPr>
            <w:tcW w:w="1980" w:type="dxa"/>
            <w:vAlign w:val="bottom"/>
            <w:gridSpan w:val="4"/>
          </w:tcPr>
          <w:p>
            <w:pPr>
              <w:ind w:left="340"/>
              <w:spacing w:after="0"/>
              <w:rPr>
                <w:sz w:val="20"/>
                <w:szCs w:val="20"/>
                <w:color w:val="auto"/>
              </w:rPr>
            </w:pPr>
            <w:r>
              <w:rPr>
                <w:rFonts w:ascii="Arial" w:cs="Arial" w:eastAsia="Arial" w:hAnsi="Arial"/>
                <w:sz w:val="18"/>
                <w:szCs w:val="18"/>
                <w:b w:val="1"/>
                <w:bCs w:val="1"/>
                <w:color w:val="auto"/>
              </w:rPr>
              <w:t>Initiative Costs (b)</w:t>
            </w:r>
          </w:p>
        </w:tc>
        <w:tc>
          <w:tcPr>
            <w:tcW w:w="15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Related Costs (c)</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(Non-GAAP)</w:t>
            </w:r>
          </w:p>
        </w:tc>
        <w:tc>
          <w:tcPr>
            <w:tcW w:w="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2520" w:type="dxa"/>
            <w:vAlign w:val="bottom"/>
            <w:tcBorders>
              <w:bottom w:val="single" w:sz="8" w:color="CCEEFF"/>
            </w:tcBorders>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Gross profit</w:t>
            </w: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725,849</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283</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1,099</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889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728,120</w:t>
            </w:r>
          </w:p>
        </w:tc>
        <w:tc>
          <w:tcPr>
            <w:tcW w:w="20" w:type="dxa"/>
            <w:vAlign w:val="bottom"/>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gridSpan w:val="8"/>
          </w:tcPr>
          <w:p>
            <w:pPr>
              <w:jc w:val="center"/>
              <w:ind w:right="270"/>
              <w:spacing w:after="0"/>
              <w:rPr>
                <w:sz w:val="20"/>
                <w:szCs w:val="20"/>
                <w:color w:val="auto"/>
              </w:rPr>
            </w:pPr>
            <w:r>
              <w:rPr>
                <w:rFonts w:ascii="Arial" w:cs="Arial" w:eastAsia="Arial" w:hAnsi="Arial"/>
                <w:sz w:val="18"/>
                <w:szCs w:val="18"/>
                <w:b w:val="1"/>
                <w:bCs w:val="1"/>
                <w:color w:val="auto"/>
                <w:w w:val="91"/>
              </w:rPr>
              <w:t>Second Quarter Year-to-Date 2016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gridSpan w:val="8"/>
          </w:tcPr>
          <w:p>
            <w:pPr>
              <w:ind w:left="360"/>
              <w:spacing w:after="0"/>
              <w:rPr>
                <w:sz w:val="20"/>
                <w:szCs w:val="20"/>
                <w:color w:val="auto"/>
              </w:rPr>
            </w:pPr>
            <w:r>
              <w:rPr>
                <w:rFonts w:ascii="Arial" w:cs="Arial" w:eastAsia="Arial" w:hAnsi="Arial"/>
                <w:sz w:val="18"/>
                <w:szCs w:val="18"/>
                <w:b w:val="1"/>
                <w:bCs w:val="1"/>
                <w:color w:val="auto"/>
              </w:rPr>
              <w:t>Items Impacting Comparability</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20" w:type="dxa"/>
            <w:vAlign w:val="bottom"/>
            <w:gridSpan w:val="9"/>
          </w:tcPr>
          <w:p>
            <w:pPr>
              <w:ind w:left="340"/>
              <w:spacing w:after="0"/>
              <w:rPr>
                <w:sz w:val="20"/>
                <w:szCs w:val="20"/>
                <w:color w:val="auto"/>
              </w:rPr>
            </w:pPr>
            <w:r>
              <w:rPr>
                <w:rFonts w:ascii="Arial" w:cs="Arial" w:eastAsia="Arial" w:hAnsi="Arial"/>
                <w:sz w:val="18"/>
                <w:szCs w:val="18"/>
                <w:b w:val="1"/>
                <w:bCs w:val="1"/>
                <w:color w:val="auto"/>
                <w:w w:val="94"/>
              </w:rPr>
              <w:t>Adjusted Selling and Administrative Expense</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6"/>
              </w:rPr>
              <w:t>Reported</w:t>
            </w:r>
          </w:p>
        </w:tc>
        <w:tc>
          <w:tcPr>
            <w:tcW w:w="1680" w:type="dxa"/>
            <w:vAlign w:val="bottom"/>
            <w:gridSpan w:val="4"/>
          </w:tcPr>
          <w:p>
            <w:pPr>
              <w:ind w:left="460"/>
              <w:spacing w:after="0"/>
              <w:rPr>
                <w:sz w:val="20"/>
                <w:szCs w:val="20"/>
                <w:color w:val="auto"/>
              </w:rPr>
            </w:pPr>
            <w:r>
              <w:rPr>
                <w:rFonts w:ascii="Arial" w:cs="Arial" w:eastAsia="Arial" w:hAnsi="Arial"/>
                <w:sz w:val="18"/>
                <w:szCs w:val="18"/>
                <w:b w:val="1"/>
                <w:bCs w:val="1"/>
                <w:color w:val="auto"/>
              </w:rPr>
              <w:t>Acquisition</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Adjusted (Non-</w:t>
            </w:r>
          </w:p>
        </w:tc>
        <w:tc>
          <w:tcPr>
            <w:tcW w:w="20" w:type="dxa"/>
            <w:vAlign w:val="bottom"/>
          </w:tcPr>
          <w:p>
            <w:pPr>
              <w:spacing w:after="0"/>
              <w:rPr>
                <w:sz w:val="19"/>
                <w:szCs w:val="19"/>
                <w:color w:val="auto"/>
              </w:rPr>
            </w:pPr>
          </w:p>
        </w:tc>
      </w:tr>
      <w:tr>
        <w:trPr>
          <w:trHeight w:val="234"/>
        </w:trPr>
        <w:tc>
          <w:tcPr>
            <w:tcW w:w="1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(GAAP)</w:t>
            </w:r>
          </w:p>
        </w:tc>
        <w:tc>
          <w:tcPr>
            <w:tcW w:w="1680" w:type="dxa"/>
            <w:vAlign w:val="bottom"/>
            <w:gridSpan w:val="4"/>
          </w:tcPr>
          <w:p>
            <w:pPr>
              <w:ind w:left="260"/>
              <w:spacing w:after="0"/>
              <w:rPr>
                <w:sz w:val="20"/>
                <w:szCs w:val="20"/>
                <w:color w:val="auto"/>
              </w:rPr>
            </w:pPr>
            <w:r>
              <w:rPr>
                <w:rFonts w:ascii="Arial" w:cs="Arial" w:eastAsia="Arial" w:hAnsi="Arial"/>
                <w:sz w:val="18"/>
                <w:szCs w:val="18"/>
                <w:b w:val="1"/>
                <w:bCs w:val="1"/>
                <w:color w:val="auto"/>
                <w:w w:val="95"/>
              </w:rPr>
              <w:t>Related Costs (c)</w:t>
            </w:r>
          </w:p>
        </w:tc>
        <w:tc>
          <w:tcPr>
            <w:tcW w:w="234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w w:val="98"/>
              </w:rPr>
              <w:t>Tax Settlements (d)</w:t>
            </w:r>
          </w:p>
        </w:tc>
        <w:tc>
          <w:tcPr>
            <w:tcW w:w="11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160" w:type="dxa"/>
            <w:vAlign w:val="bottom"/>
            <w:tcBorders>
              <w:bottom w:val="single" w:sz="8" w:color="CCEEFF"/>
            </w:tcBorders>
            <w:gridSpan w:val="7"/>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Selling and administrative expense</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256,327</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(360)</w:t>
            </w: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590"/>
              <w:spacing w:after="0"/>
              <w:rPr>
                <w:sz w:val="20"/>
                <w:szCs w:val="20"/>
                <w:color w:val="auto"/>
              </w:rPr>
            </w:pPr>
            <w:r>
              <w:rPr>
                <w:rFonts w:ascii="Arial" w:cs="Arial" w:eastAsia="Arial" w:hAnsi="Arial"/>
                <w:sz w:val="18"/>
                <w:szCs w:val="18"/>
                <w:color w:val="auto"/>
              </w:rPr>
              <w:t>1,482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257,449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Second Quarter Year-to-Date 2016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Items Impacting Comparability</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0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91"/>
              </w:rPr>
              <w:t>Adjusted Operating Income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w w:val="97"/>
              </w:rPr>
              <w:t>Operational</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Restructuring</w:t>
            </w: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Improvement</w:t>
            </w:r>
          </w:p>
        </w:tc>
        <w:tc>
          <w:tcPr>
            <w:tcW w:w="12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9"/>
              </w:rPr>
              <w:t>Acquisition</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18"/>
                <w:szCs w:val="18"/>
                <w:color w:val="auto"/>
              </w:rPr>
            </w:pPr>
          </w:p>
        </w:tc>
        <w:tc>
          <w:tcPr>
            <w:tcW w:w="1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and Other</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Initiative</w:t>
            </w:r>
          </w:p>
        </w:tc>
        <w:tc>
          <w:tcPr>
            <w:tcW w:w="12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6"/>
              </w:rPr>
              <w:t>Related Costs</w:t>
            </w:r>
          </w:p>
        </w:tc>
        <w:tc>
          <w:tcPr>
            <w:tcW w:w="300" w:type="dxa"/>
            <w:vAlign w:val="bottom"/>
          </w:tcPr>
          <w:p>
            <w:pPr>
              <w:spacing w:after="0"/>
              <w:rPr>
                <w:sz w:val="18"/>
                <w:szCs w:val="18"/>
                <w:color w:val="auto"/>
              </w:rPr>
            </w:pPr>
          </w:p>
        </w:tc>
        <w:tc>
          <w:tcPr>
            <w:tcW w:w="122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Settlements</w:t>
            </w:r>
          </w:p>
        </w:tc>
        <w:tc>
          <w:tcPr>
            <w:tcW w:w="1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Adjusted</w:t>
            </w:r>
          </w:p>
        </w:tc>
        <w:tc>
          <w:tcPr>
            <w:tcW w:w="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(GAAP)</w:t>
            </w:r>
          </w:p>
        </w:tc>
        <w:tc>
          <w:tcPr>
            <w:tcW w:w="100" w:type="dxa"/>
            <w:vAlign w:val="bottom"/>
          </w:tcPr>
          <w:p>
            <w:pPr>
              <w:spacing w:after="0"/>
              <w:rPr>
                <w:sz w:val="20"/>
                <w:szCs w:val="20"/>
                <w:color w:val="auto"/>
              </w:rPr>
            </w:pPr>
          </w:p>
        </w:tc>
        <w:tc>
          <w:tcPr>
            <w:tcW w:w="1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Charges (a)</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Costs (b)</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30"/>
              <w:spacing w:after="0"/>
              <w:rPr>
                <w:sz w:val="20"/>
                <w:szCs w:val="20"/>
                <w:color w:val="auto"/>
              </w:rPr>
            </w:pPr>
            <w:r>
              <w:rPr>
                <w:rFonts w:ascii="Arial" w:cs="Arial" w:eastAsia="Arial" w:hAnsi="Arial"/>
                <w:sz w:val="18"/>
                <w:szCs w:val="18"/>
                <w:b w:val="1"/>
                <w:bCs w:val="1"/>
                <w:color w:val="auto"/>
                <w:w w:val="95"/>
              </w:rPr>
              <w:t>(d)</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(Non-GAAP)</w:t>
            </w:r>
          </w:p>
        </w:tc>
        <w:tc>
          <w:tcPr>
            <w:tcW w:w="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Operating profit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331,694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4"/>
              </w:rPr>
              <w:t>1,099</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(1,482)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332,843</w:t>
            </w:r>
          </w:p>
        </w:tc>
        <w:tc>
          <w:tcPr>
            <w:tcW w:w="20" w:type="dxa"/>
            <w:vAlign w:val="bottom"/>
          </w:tcPr>
          <w:p>
            <w:pPr>
              <w:spacing w:after="0"/>
              <w:rPr>
                <w:sz w:val="21"/>
                <w:szCs w:val="21"/>
                <w:color w:val="auto"/>
              </w:rPr>
            </w:pPr>
          </w:p>
        </w:tc>
      </w:tr>
      <w:tr>
        <w:trPr>
          <w:trHeight w:val="594"/>
        </w:trPr>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Second Quarter Year-to-Date 2016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Items Impacting Comparability</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1"/>
              </w:rPr>
              <w:t>Adjusted Net Income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Restructuring</w:t>
            </w: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w w:val="91"/>
              </w:rPr>
              <w:t>Operational</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Acquisition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Tax</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2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18"/>
                <w:szCs w:val="18"/>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4"/>
              </w:rPr>
              <w:t>and Other</w:t>
            </w:r>
          </w:p>
        </w:tc>
        <w:tc>
          <w:tcPr>
            <w:tcW w:w="1680" w:type="dxa"/>
            <w:vAlign w:val="bottom"/>
            <w:gridSpan w:val="4"/>
          </w:tcPr>
          <w:p>
            <w:pPr>
              <w:ind w:left="240"/>
              <w:spacing w:after="0"/>
              <w:rPr>
                <w:sz w:val="20"/>
                <w:szCs w:val="20"/>
                <w:color w:val="auto"/>
              </w:rPr>
            </w:pPr>
            <w:r>
              <w:rPr>
                <w:rFonts w:ascii="Arial" w:cs="Arial" w:eastAsia="Arial" w:hAnsi="Arial"/>
                <w:sz w:val="18"/>
                <w:szCs w:val="18"/>
                <w:b w:val="1"/>
                <w:bCs w:val="1"/>
                <w:color w:val="auto"/>
              </w:rPr>
              <w:t>Improvement</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Related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Settlements</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c>
          <w:tcPr>
            <w:tcW w:w="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(GAAP)</w:t>
            </w:r>
          </w:p>
        </w:tc>
        <w:tc>
          <w:tcPr>
            <w:tcW w:w="100" w:type="dxa"/>
            <w:vAlign w:val="bottom"/>
          </w:tcPr>
          <w:p>
            <w:pPr>
              <w:spacing w:after="0"/>
              <w:rPr>
                <w:sz w:val="20"/>
                <w:szCs w:val="20"/>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Charges (a)</w:t>
            </w:r>
          </w:p>
        </w:tc>
        <w:tc>
          <w:tcPr>
            <w:tcW w:w="1680" w:type="dxa"/>
            <w:vAlign w:val="bottom"/>
            <w:gridSpan w:val="4"/>
          </w:tcPr>
          <w:p>
            <w:pPr>
              <w:ind w:left="40"/>
              <w:spacing w:after="0"/>
              <w:rPr>
                <w:sz w:val="20"/>
                <w:szCs w:val="20"/>
                <w:color w:val="auto"/>
              </w:rPr>
            </w:pPr>
            <w:r>
              <w:rPr>
                <w:rFonts w:ascii="Arial" w:cs="Arial" w:eastAsia="Arial" w:hAnsi="Arial"/>
                <w:sz w:val="18"/>
                <w:szCs w:val="18"/>
                <w:b w:val="1"/>
                <w:bCs w:val="1"/>
                <w:color w:val="auto"/>
              </w:rPr>
              <w:t>Initiative Costs (b)</w:t>
            </w:r>
          </w:p>
        </w:tc>
        <w:tc>
          <w:tcPr>
            <w:tcW w:w="8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(c)</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Income before taxes</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308,096</w:t>
            </w:r>
          </w:p>
        </w:tc>
        <w:tc>
          <w:tcPr>
            <w:tcW w:w="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Taxes on income (e)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71,610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275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266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(411)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71,794</w:t>
            </w:r>
          </w:p>
        </w:tc>
        <w:tc>
          <w:tcPr>
            <w:tcW w:w="2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Net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235,337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824</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236,302</w:t>
            </w:r>
          </w:p>
        </w:tc>
        <w:tc>
          <w:tcPr>
            <w:tcW w:w="2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2016 Year-to-Date Footnote Explanations:</w:t>
      </w:r>
    </w:p>
    <w:p>
      <w:pPr>
        <w:spacing w:after="0" w:line="2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costs related to restructuring initiatives.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and severance costs in Asia.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Expense related to the fair value step up of inventory and additional transaction costs related to acquisition of Lucas Meyer.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Settlements due to favorable tax rulings in jurisdictions for which reserves were previously recorded for ongoing tax disputes.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ectPr>
          <w:pgSz w:w="11900" w:h="16838" w:orient="portrait"/>
          <w:cols w:equalWidth="0" w:num="1">
            <w:col w:w="10340"/>
          </w:cols>
          <w:pgMar w:left="240" w:top="58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340"/>
          </w:cols>
          <w:pgMar w:left="240" w:top="580" w:right="131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w w:val="95"/>
              </w:rPr>
              <w:t>D. 2015 Year-to-Date Reconciliations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gridSpan w:val="7"/>
          </w:tcPr>
          <w:p>
            <w:pPr>
              <w:jc w:val="center"/>
              <w:ind w:right="470"/>
              <w:spacing w:after="0"/>
              <w:rPr>
                <w:sz w:val="20"/>
                <w:szCs w:val="20"/>
                <w:color w:val="auto"/>
              </w:rPr>
            </w:pPr>
            <w:r>
              <w:rPr>
                <w:rFonts w:ascii="Arial" w:cs="Arial" w:eastAsia="Arial" w:hAnsi="Arial"/>
                <w:sz w:val="18"/>
                <w:szCs w:val="18"/>
                <w:b w:val="1"/>
                <w:bCs w:val="1"/>
                <w:color w:val="auto"/>
                <w:w w:val="91"/>
              </w:rPr>
              <w:t>Second Quarter Year-to-Date 2015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300" w:type="dxa"/>
            <w:vAlign w:val="bottom"/>
            <w:gridSpan w:val="7"/>
          </w:tcPr>
          <w:p>
            <w:pPr>
              <w:jc w:val="center"/>
              <w:ind w:right="450"/>
              <w:spacing w:after="0"/>
              <w:rPr>
                <w:sz w:val="20"/>
                <w:szCs w:val="20"/>
                <w:color w:val="auto"/>
              </w:rPr>
            </w:pPr>
            <w:r>
              <w:rPr>
                <w:rFonts w:ascii="Arial" w:cs="Arial" w:eastAsia="Arial" w:hAnsi="Arial"/>
                <w:sz w:val="18"/>
                <w:szCs w:val="18"/>
                <w:b w:val="1"/>
                <w:bCs w:val="1"/>
                <w:color w:val="auto"/>
                <w:w w:val="93"/>
              </w:rPr>
              <w:t>Items Impacting Comparability</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rPr>
              <w:t>Adjusted Gross Profit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Operational</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1"/>
              </w:rPr>
              <w:t>Improvement</w:t>
            </w:r>
          </w:p>
        </w:tc>
        <w:tc>
          <w:tcPr>
            <w:tcW w:w="20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0"/>
              </w:rPr>
              <w:t>Acquisition Related</w:t>
            </w:r>
          </w:p>
        </w:tc>
        <w:tc>
          <w:tcPr>
            <w:tcW w:w="14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4"/>
              </w:rPr>
              <w:t>Adjusted (Non-</w:t>
            </w: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4"/>
              </w:rPr>
              <w:t>Reported (GAAP)</w:t>
            </w:r>
          </w:p>
        </w:tc>
        <w:tc>
          <w:tcPr>
            <w:tcW w:w="170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2"/>
              </w:rPr>
              <w:t>Initiative Costs (b)</w:t>
            </w:r>
          </w:p>
        </w:tc>
        <w:tc>
          <w:tcPr>
            <w:tcW w:w="600" w:type="dxa"/>
            <w:vAlign w:val="bottom"/>
          </w:tcPr>
          <w:p>
            <w:pPr>
              <w:spacing w:after="0"/>
              <w:rPr>
                <w:sz w:val="20"/>
                <w:szCs w:val="20"/>
                <w:color w:val="auto"/>
              </w:rPr>
            </w:pPr>
          </w:p>
        </w:tc>
        <w:tc>
          <w:tcPr>
            <w:tcW w:w="1460" w:type="dxa"/>
            <w:vAlign w:val="bottom"/>
            <w:gridSpan w:val="3"/>
          </w:tcPr>
          <w:p>
            <w:pPr>
              <w:jc w:val="center"/>
              <w:ind w:right="630"/>
              <w:spacing w:after="0"/>
              <w:rPr>
                <w:sz w:val="20"/>
                <w:szCs w:val="20"/>
                <w:color w:val="auto"/>
              </w:rPr>
            </w:pPr>
            <w:r>
              <w:rPr>
                <w:rFonts w:ascii="Arial" w:cs="Arial" w:eastAsia="Arial" w:hAnsi="Arial"/>
                <w:sz w:val="18"/>
                <w:szCs w:val="18"/>
                <w:b w:val="1"/>
                <w:bCs w:val="1"/>
                <w:color w:val="auto"/>
                <w:w w:val="85"/>
              </w:rPr>
              <w:t>Costs (c)</w:t>
            </w:r>
          </w:p>
        </w:tc>
        <w:tc>
          <w:tcPr>
            <w:tcW w:w="340" w:type="dxa"/>
            <w:vAlign w:val="bottom"/>
          </w:tcPr>
          <w:p>
            <w:pPr>
              <w:spacing w:after="0"/>
              <w:rPr>
                <w:sz w:val="20"/>
                <w:szCs w:val="20"/>
                <w:color w:val="auto"/>
              </w:rPr>
            </w:pPr>
          </w:p>
        </w:tc>
        <w:tc>
          <w:tcPr>
            <w:tcW w:w="11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w w:val="96"/>
              </w:rPr>
              <w:t>GAAP)</w:t>
            </w:r>
          </w:p>
        </w:tc>
      </w:tr>
      <w:tr>
        <w:trPr>
          <w:trHeight w:val="27"/>
        </w:trPr>
        <w:tc>
          <w:tcPr>
            <w:tcW w:w="1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246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691,317</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843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692,722</w:t>
            </w: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Second Quarter Year-to-Date 2015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3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Items Impacting Comparability</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Adjusted Selling and Administrative Expense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0"/>
              </w:rPr>
              <w:t>Acquisition Related</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4"/>
              </w:rPr>
              <w:t>Reported (GAAP)</w:t>
            </w:r>
          </w:p>
        </w:tc>
        <w:tc>
          <w:tcPr>
            <w:tcW w:w="184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8"/>
              </w:rPr>
              <w:t>Costs (c)</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Adjusted (Non-GAAP)</w:t>
            </w:r>
          </w:p>
        </w:tc>
      </w:tr>
      <w:tr>
        <w:trPr>
          <w:trHeight w:val="27"/>
        </w:trPr>
        <w:tc>
          <w:tcPr>
            <w:tcW w:w="1120" w:type="dxa"/>
            <w:vAlign w:val="bottom"/>
          </w:tcPr>
          <w:p>
            <w:pPr>
              <w:spacing w:after="0"/>
              <w:rPr>
                <w:sz w:val="2"/>
                <w:szCs w:val="2"/>
                <w:color w:val="auto"/>
              </w:rPr>
            </w:pPr>
          </w:p>
        </w:tc>
        <w:tc>
          <w:tcPr>
            <w:tcW w:w="1900" w:type="dxa"/>
            <w:vAlign w:val="bottom"/>
            <w:gridSpan w:val="3"/>
          </w:tcPr>
          <w:p>
            <w:pPr>
              <w:spacing w:after="0"/>
              <w:rPr>
                <w:sz w:val="2"/>
                <w:szCs w:val="2"/>
                <w:color w:val="auto"/>
              </w:rPr>
            </w:pPr>
          </w:p>
        </w:tc>
        <w:tc>
          <w:tcPr>
            <w:tcW w:w="66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3960" w:type="dxa"/>
            <w:vAlign w:val="bottom"/>
            <w:tcBorders>
              <w:bottom w:val="single" w:sz="8" w:color="CCEEFF"/>
            </w:tcBorders>
            <w:gridSpan w:val="10"/>
            <w:shd w:val="clear" w:color="auto" w:fill="CCEEFF"/>
          </w:tcPr>
          <w:p>
            <w:pPr>
              <w:jc w:val="right"/>
              <w:ind w:right="1160"/>
              <w:spacing w:after="0"/>
              <w:rPr>
                <w:sz w:val="20"/>
                <w:szCs w:val="20"/>
                <w:color w:val="auto"/>
              </w:rPr>
            </w:pPr>
            <w:r>
              <w:rPr>
                <w:rFonts w:ascii="Arial" w:cs="Arial" w:eastAsia="Arial" w:hAnsi="Arial"/>
                <w:sz w:val="18"/>
                <w:szCs w:val="18"/>
                <w:b w:val="1"/>
                <w:bCs w:val="1"/>
                <w:color w:val="auto"/>
                <w:w w:val="92"/>
              </w:rPr>
              <w:t>Selling and administrative expense</w:t>
            </w:r>
          </w:p>
        </w:tc>
        <w:tc>
          <w:tcPr>
            <w:tcW w:w="156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w w:val="86"/>
              </w:rPr>
              <w:t>250,018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243,796</w:t>
            </w: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90"/>
              </w:rPr>
              <w:t>Second Quarter Year-to-Date 2015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93"/>
              </w:rPr>
              <w:t>Items Impacting Comparability</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3"/>
              </w:rPr>
              <w:t>Adjusted Operating Income</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58"/>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5"/>
        </w:trPr>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Restructuring</w:t>
            </w:r>
          </w:p>
        </w:tc>
        <w:tc>
          <w:tcPr>
            <w:tcW w:w="18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Operational</w:t>
            </w:r>
          </w:p>
        </w:tc>
        <w:tc>
          <w:tcPr>
            <w:tcW w:w="14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Acquisition</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Reported</w:t>
            </w:r>
          </w:p>
        </w:tc>
        <w:tc>
          <w:tcPr>
            <w:tcW w:w="60" w:type="dxa"/>
            <w:vAlign w:val="bottom"/>
          </w:tcPr>
          <w:p>
            <w:pPr>
              <w:spacing w:after="0"/>
              <w:rPr>
                <w:sz w:val="18"/>
                <w:szCs w:val="18"/>
                <w:color w:val="auto"/>
              </w:rPr>
            </w:pPr>
          </w:p>
        </w:tc>
        <w:tc>
          <w:tcPr>
            <w:tcW w:w="15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and Other</w:t>
            </w:r>
          </w:p>
        </w:tc>
        <w:tc>
          <w:tcPr>
            <w:tcW w:w="18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Improvement</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Related Costs</w:t>
            </w:r>
          </w:p>
        </w:tc>
        <w:tc>
          <w:tcPr>
            <w:tcW w:w="14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Adjusted (Non-</w:t>
            </w: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6"/>
              </w:rPr>
              <w:t>(GAAP)</w:t>
            </w:r>
          </w:p>
        </w:tc>
        <w:tc>
          <w:tcPr>
            <w:tcW w:w="60" w:type="dxa"/>
            <w:vAlign w:val="bottom"/>
          </w:tcPr>
          <w:p>
            <w:pPr>
              <w:spacing w:after="0"/>
              <w:rPr>
                <w:sz w:val="20"/>
                <w:szCs w:val="20"/>
                <w:color w:val="auto"/>
              </w:rPr>
            </w:pPr>
          </w:p>
        </w:tc>
        <w:tc>
          <w:tcPr>
            <w:tcW w:w="15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Charges (a)</w:t>
            </w:r>
          </w:p>
        </w:tc>
        <w:tc>
          <w:tcPr>
            <w:tcW w:w="18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2"/>
              </w:rPr>
              <w:t>Initiative Costs (b)</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(c)</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GAAP)</w:t>
            </w:r>
          </w:p>
        </w:tc>
      </w:tr>
      <w:tr>
        <w:trPr>
          <w:trHeight w:val="27"/>
        </w:trPr>
        <w:tc>
          <w:tcPr>
            <w:tcW w:w="112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92"/>
              </w:rPr>
              <w:t>Operating profit</w:t>
            </w:r>
          </w:p>
        </w:tc>
        <w:tc>
          <w:tcPr>
            <w:tcW w:w="1960" w:type="dxa"/>
            <w:vAlign w:val="bottom"/>
            <w:tcBorders>
              <w:bottom w:val="single" w:sz="8" w:color="CCEEFF"/>
            </w:tcBorders>
            <w:gridSpan w:val="7"/>
            <w:shd w:val="clear" w:color="auto" w:fill="CCEEFF"/>
          </w:tcPr>
          <w:p>
            <w:pPr>
              <w:jc w:val="right"/>
              <w:ind w:right="910"/>
              <w:spacing w:after="0"/>
              <w:rPr>
                <w:sz w:val="20"/>
                <w:szCs w:val="20"/>
                <w:color w:val="auto"/>
              </w:rPr>
            </w:pPr>
            <w:r>
              <w:rPr>
                <w:rFonts w:ascii="Arial" w:cs="Arial" w:eastAsia="Arial" w:hAnsi="Arial"/>
                <w:sz w:val="18"/>
                <w:szCs w:val="18"/>
                <w:color w:val="auto"/>
              </w:rPr>
              <w:t>310,613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(170)</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93"/>
              </w:rPr>
              <w:t>7,065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318,070</w:t>
            </w:r>
          </w:p>
        </w:tc>
      </w:tr>
      <w:tr>
        <w:trPr>
          <w:trHeight w:val="594"/>
        </w:trPr>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1"/>
              </w:rPr>
              <w:t>Second Quarter Year-to-Date 2015</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3"/>
              </w:rPr>
              <w:t>Items Impacting Comparability</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1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Adjusted Net Income</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4"/>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1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Restructuring</w:t>
            </w:r>
          </w:p>
        </w:tc>
        <w:tc>
          <w:tcPr>
            <w:tcW w:w="1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Operational</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Acquisition</w:t>
            </w:r>
          </w:p>
        </w:tc>
        <w:tc>
          <w:tcPr>
            <w:tcW w:w="82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Tax</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16"/>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8"/>
              </w:rPr>
              <w:t>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Improvement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6"/>
              </w:rPr>
              <w:t>Related Costs</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Settlements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r>
      <w:tr>
        <w:trPr>
          <w:trHeight w:val="234"/>
        </w:trPr>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(GAAP)</w:t>
            </w:r>
          </w:p>
        </w:tc>
        <w:tc>
          <w:tcPr>
            <w:tcW w:w="100" w:type="dxa"/>
            <w:vAlign w:val="bottom"/>
          </w:tcPr>
          <w:p>
            <w:pPr>
              <w:spacing w:after="0"/>
              <w:rPr>
                <w:sz w:val="20"/>
                <w:szCs w:val="20"/>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Charges (a)</w:t>
            </w:r>
          </w:p>
        </w:tc>
        <w:tc>
          <w:tcPr>
            <w:tcW w:w="1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Initiative Costs (b)</w:t>
            </w:r>
          </w:p>
        </w:tc>
        <w:tc>
          <w:tcPr>
            <w:tcW w:w="1240" w:type="dxa"/>
            <w:vAlign w:val="bottom"/>
            <w:gridSpan w:val="3"/>
          </w:tcPr>
          <w:p>
            <w:pPr>
              <w:ind w:left="440"/>
              <w:spacing w:after="0"/>
              <w:rPr>
                <w:sz w:val="20"/>
                <w:szCs w:val="20"/>
                <w:color w:val="auto"/>
              </w:rPr>
            </w:pPr>
            <w:r>
              <w:rPr>
                <w:rFonts w:ascii="Arial" w:cs="Arial" w:eastAsia="Arial" w:hAnsi="Arial"/>
                <w:sz w:val="18"/>
                <w:szCs w:val="18"/>
                <w:b w:val="1"/>
                <w:bCs w:val="1"/>
                <w:color w:val="auto"/>
              </w:rPr>
              <w:t>(c)</w:t>
            </w:r>
          </w:p>
        </w:tc>
        <w:tc>
          <w:tcPr>
            <w:tcW w:w="820" w:type="dxa"/>
            <w:vAlign w:val="bottom"/>
          </w:tcPr>
          <w:p>
            <w:pPr>
              <w:jc w:val="center"/>
              <w:ind w:left="270"/>
              <w:spacing w:after="0"/>
              <w:rPr>
                <w:sz w:val="20"/>
                <w:szCs w:val="20"/>
                <w:color w:val="auto"/>
              </w:rPr>
            </w:pPr>
            <w:r>
              <w:rPr>
                <w:rFonts w:ascii="Arial" w:cs="Arial" w:eastAsia="Arial" w:hAnsi="Arial"/>
                <w:sz w:val="18"/>
                <w:szCs w:val="18"/>
                <w:b w:val="1"/>
                <w:bCs w:val="1"/>
                <w:color w:val="auto"/>
                <w:w w:val="95"/>
              </w:rPr>
              <w:t>(d)</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GAAP)</w:t>
            </w:r>
          </w:p>
        </w:tc>
      </w:tr>
      <w:tr>
        <w:trPr>
          <w:trHeight w:val="27"/>
        </w:trPr>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Income before taxes</w:t>
            </w: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293,386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7,065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300,843</w:t>
            </w:r>
          </w:p>
        </w:tc>
      </w:tr>
      <w:tr>
        <w:trPr>
          <w:trHeight w:val="243"/>
        </w:trPr>
        <w:tc>
          <w:tcPr>
            <w:tcW w:w="1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3"/>
              </w:rPr>
              <w:t>Taxes on income (e)</w:t>
            </w:r>
          </w:p>
        </w:tc>
        <w:tc>
          <w:tcPr>
            <w:tcW w:w="30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59,754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1,050</w:t>
            </w: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10,478</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71,362</w:t>
            </w:r>
          </w:p>
        </w:tc>
      </w:tr>
      <w:tr>
        <w:trPr>
          <w:trHeight w:val="27"/>
        </w:trPr>
        <w:tc>
          <w:tcPr>
            <w:tcW w:w="112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233,632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6,015</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229,481</w:t>
            </w:r>
          </w:p>
        </w:tc>
      </w:tr>
      <w:tr>
        <w:trPr>
          <w:trHeight w:val="27"/>
        </w:trPr>
        <w:tc>
          <w:tcPr>
            <w:tcW w:w="1120" w:type="dxa"/>
            <w:vAlign w:val="bottom"/>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2015 Year-to-Date Footnote Explanations:</w:t>
      </w:r>
    </w:p>
    <w:p>
      <w:pPr>
        <w:spacing w:after="0" w:line="23"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Costs related to the Fragrance Ingredients Rationalization.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depreciation related to plant closings in Europe and partial closing in Asia.</w:t>
      </w:r>
    </w:p>
    <w:p>
      <w:pPr>
        <w:spacing w:after="0" w:line="9" w:lineRule="exact"/>
        <w:rPr>
          <w:rFonts w:ascii="Arial" w:cs="Arial" w:eastAsia="Arial" w:hAnsi="Arial"/>
          <w:sz w:val="18"/>
          <w:szCs w:val="18"/>
          <w:i w:val="1"/>
          <w:iCs w:val="1"/>
          <w:color w:val="auto"/>
        </w:rPr>
      </w:pPr>
    </w:p>
    <w:p>
      <w:pPr>
        <w:ind w:firstLine="8"/>
        <w:spacing w:after="0" w:line="250" w:lineRule="auto"/>
        <w:tabs>
          <w:tab w:leader="none" w:pos="24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 costs related to acquisitions (Ottens Flavors and Lucas Meyer Cosmetics) as well as expense related to the fair value step up of inventory on the Ottens Flavors acquisitions.</w:t>
      </w: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Settlements due to favorable tax rulings in jurisdictions for which reserves were previously recorded for ongoing tax disputes.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tax effects are calculated based upon the specific rate of the applicable jurisdiction of the items.</w:t>
      </w:r>
    </w:p>
    <w:p>
      <w:pPr>
        <w:sectPr>
          <w:pgSz w:w="11900" w:h="16838" w:orient="portrait"/>
          <w:cols w:equalWidth="0" w:num="1">
            <w:col w:w="11280"/>
          </w:cols>
          <w:pgMar w:left="240" w:top="58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80"/>
          </w:cols>
          <w:pgMar w:left="240" w:top="580"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 Foreign Currency Reconciliation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380" w:type="dxa"/>
            <w:vAlign w:val="bottom"/>
            <w:gridSpan w:val="3"/>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5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11%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1%</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 Change Year-over-Year - Currency Neutral Adjusted (Non-GAAP)**</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9%</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ind w:left="60" w:right="20" w:firstLine="2"/>
        <w:spacing w:after="0" w:line="250" w:lineRule="auto"/>
        <w:tabs>
          <w:tab w:leader="none" w:pos="3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Includes $1.2 million and $6.5 million of restructuring, operational improvement initiatives and acquisition related costs for the three months ended June 30, 2016 and June 30, 2015, respectively. Includes $1.1 million of restructuring, operational improvement initiatives and acquisition related costs as well as the benefit of the Spanish capital tax settlement and $7.5 million of restructuring, operational improvement initiatives and acquisition related costs for the six months ended June 30, 2016 and June 30, 2015, respectively.</w:t>
      </w:r>
    </w:p>
    <w:p>
      <w:pPr>
        <w:spacing w:after="0" w:line="1" w:lineRule="exact"/>
        <w:rPr>
          <w:rFonts w:ascii="Arial" w:cs="Arial" w:eastAsia="Arial" w:hAnsi="Arial"/>
          <w:sz w:val="18"/>
          <w:szCs w:val="18"/>
          <w:color w:val="auto"/>
        </w:rPr>
      </w:pPr>
    </w:p>
    <w:p>
      <w:pPr>
        <w:ind w:left="60" w:right="200"/>
        <w:spacing w:after="0" w:line="261" w:lineRule="auto"/>
        <w:rPr>
          <w:rFonts w:ascii="Arial" w:cs="Arial" w:eastAsia="Arial" w:hAnsi="Arial"/>
          <w:sz w:val="18"/>
          <w:szCs w:val="18"/>
          <w:color w:val="auto"/>
        </w:rPr>
      </w:pPr>
      <w:r>
        <w:rPr>
          <w:rFonts w:ascii="Arial" w:cs="Arial" w:eastAsia="Arial" w:hAnsi="Arial"/>
          <w:sz w:val="18"/>
          <w:szCs w:val="18"/>
          <w:color w:val="auto"/>
        </w:rPr>
        <w:t>** Currency neutral amount is calculated by translating prior year amounts at the exchange rates used for the corresponding 2016 period. Currency neutral operating profit also eliminates the year-over-year impact of cash flow hedging.</w:t>
      </w:r>
    </w:p>
    <w:p>
      <w:pPr>
        <w:spacing w:after="0" w:line="179" w:lineRule="exact"/>
        <w:rPr>
          <w:rFonts w:ascii="Arial" w:cs="Arial" w:eastAsia="Arial" w:hAnsi="Arial"/>
          <w:sz w:val="18"/>
          <w:szCs w:val="18"/>
          <w:color w:val="auto"/>
        </w:rPr>
      </w:pPr>
    </w:p>
    <w:p>
      <w:pPr>
        <w:ind w:left="200" w:hanging="192"/>
        <w:spacing w:after="0"/>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4180" w:type="dxa"/>
            <w:vAlign w:val="bottom"/>
            <w:gridSpan w:val="4"/>
          </w:tcPr>
          <w:p>
            <w:pPr>
              <w:ind w:left="1100"/>
              <w:spacing w:after="0"/>
              <w:rPr>
                <w:sz w:val="20"/>
                <w:szCs w:val="20"/>
                <w:color w:val="auto"/>
              </w:rPr>
            </w:pPr>
            <w:r>
              <w:rPr>
                <w:rFonts w:ascii="Arial" w:cs="Arial" w:eastAsia="Arial" w:hAnsi="Arial"/>
                <w:sz w:val="14"/>
                <w:szCs w:val="14"/>
                <w:b w:val="1"/>
                <w:bCs w:val="1"/>
                <w:color w:val="auto"/>
              </w:rPr>
              <w:t>Three Months Ended June 30,</w:t>
            </w:r>
          </w:p>
        </w:tc>
        <w:tc>
          <w:tcPr>
            <w:tcW w:w="4040" w:type="dxa"/>
            <w:vAlign w:val="bottom"/>
            <w:gridSpan w:val="3"/>
          </w:tcPr>
          <w:p>
            <w:pPr>
              <w:ind w:left="1180"/>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1"/>
                <w:szCs w:val="21"/>
                <w:color w:val="auto"/>
              </w:rPr>
            </w:pP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bottom w:val="single" w:sz="8" w:color="CCEEFF"/>
            </w:tcBorders>
          </w:tcPr>
          <w:p>
            <w:pPr>
              <w:spacing w:after="0"/>
              <w:rPr>
                <w:sz w:val="21"/>
                <w:szCs w:val="21"/>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Ottens Flavors</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$1,586</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$1,200</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$3,202</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$1,200</w:t>
            </w:r>
          </w:p>
        </w:tc>
      </w:tr>
      <w:tr>
        <w:trPr>
          <w:trHeight w:val="27"/>
        </w:trPr>
        <w:tc>
          <w:tcPr>
            <w:tcW w:w="3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1,686</w:t>
            </w: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4,272</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837"/>
        </w:trPr>
        <w:tc>
          <w:tcPr>
            <w:tcW w:w="3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ind w:right="117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2015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June 30, 2016 that have materially affected, or are reasonably likely to materially affect, our internal control over financial reporting.</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17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Spanish tax authorities alleged claims for a capital tax,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have reversed the previously recorded provision of Euro 9.8 million ($10.5 million) for the year ended December 31, 2015. During the second quarter of 2016, we recorded additional income of $1.4 million related to the finalization of amounts expected to be received from the authorities. This amount has been reflected as a reduction of administrative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23" w:right="259" w:bottom="1440" w:gutter="0" w:footer="0" w:header="0"/>
        </w:sectPr>
      </w:pPr>
    </w:p>
    <w:bookmarkStart w:id="36" w:name="page37"/>
    <w:bookmarkEnd w:id="36"/>
    <w:p>
      <w:pPr>
        <w:ind w:firstLine="432"/>
        <w:spacing w:after="0" w:line="287" w:lineRule="auto"/>
        <w:rPr>
          <w:sz w:val="20"/>
          <w:szCs w:val="20"/>
          <w:color w:val="auto"/>
        </w:rPr>
      </w:pPr>
      <w:r>
        <w:rPr>
          <w:rFonts w:ascii="Arial" w:cs="Arial" w:eastAsia="Arial" w:hAnsi="Arial"/>
          <w:sz w:val="16"/>
          <w:szCs w:val="16"/>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The case is currently proceeding through discovery with a trial on the merits anticipated in late 2016/early 2017. The Company denies the allegations and will vigorously defend and pursue its position in Court. At this stage of the litigation, based on the information currently available to the Company, management does not believe that this matter represents a material loss contingency.</w:t>
      </w:r>
    </w:p>
    <w:p>
      <w:pPr>
        <w:spacing w:after="0" w:line="11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7" w:name="page38"/>
    <w:bookmarkEnd w:id="37"/>
    <w:p>
      <w:pPr>
        <w:spacing w:after="0" w:line="209" w:lineRule="auto"/>
        <w:framePr w:w="2000" w:h="160" w:wrap="auto" w:vAnchor="page" w:hAnchor="page" w:x="1280" w:y="6206"/>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2820" w:h="160" w:wrap="auto" w:vAnchor="page" w:hAnchor="page" w:x="1280" w:y="6476"/>
        <w:rPr>
          <w:rFonts w:ascii="Arial" w:cs="Arial" w:eastAsia="Arial" w:hAnsi="Arial"/>
          <w:sz w:val="16"/>
          <w:szCs w:val="16"/>
          <w:color w:val="auto"/>
        </w:rPr>
      </w:pPr>
      <w:r>
        <w:rPr>
          <w:rFonts w:ascii="Arial" w:cs="Arial" w:eastAsia="Arial" w:hAnsi="Arial"/>
          <w:sz w:val="16"/>
          <w:szCs w:val="16"/>
          <w:color w:val="auto"/>
        </w:rPr>
        <w:t>XBRL Taxonomy Extensions Schema</w:t>
      </w:r>
    </w:p>
    <w:p>
      <w:pPr>
        <w:spacing w:after="0" w:line="316" w:lineRule="auto"/>
        <w:framePr w:w="3780" w:h="971" w:wrap="auto" w:vAnchor="page" w:hAnchor="page" w:x="1280" w:y="6746"/>
        <w:rPr>
          <w:rFonts w:ascii="Arial" w:cs="Arial" w:eastAsia="Arial" w:hAnsi="Arial"/>
          <w:sz w:val="16"/>
          <w:szCs w:val="16"/>
          <w:color w:val="auto"/>
        </w:rPr>
      </w:pPr>
      <w:r>
        <w:rPr>
          <w:rFonts w:ascii="Arial" w:cs="Arial" w:eastAsia="Arial" w:hAnsi="Arial"/>
          <w:sz w:val="16"/>
          <w:szCs w:val="16"/>
          <w:color w:val="auto"/>
        </w:rPr>
        <w:t>XBRL Taxonomy Extension Calculation Linkbase XBRL Taxonomy Extension Definition Linkbase XBRL Taxonomy Extension Label Linkbase XBRL Taxonomy Extension Presentation Linkbase</w:t>
      </w: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rFonts w:ascii="Arial" w:cs="Arial" w:eastAsia="Arial" w:hAnsi="Arial"/>
          <w:sz w:val="16"/>
          <w:szCs w:val="16"/>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second quarter of 2016.</w:t>
      </w:r>
    </w:p>
    <w:p>
      <w:pPr>
        <w:spacing w:after="0" w:line="15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238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340" w:type="dxa"/>
            <w:vAlign w:val="bottom"/>
          </w:tcPr>
          <w:p>
            <w:pPr>
              <w:spacing w:after="0"/>
              <w:rPr>
                <w:sz w:val="16"/>
                <w:szCs w:val="16"/>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April 1 - 30, 2016</w:t>
            </w:r>
          </w:p>
        </w:tc>
        <w:tc>
          <w:tcPr>
            <w:tcW w:w="1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186,563,378</w:t>
            </w:r>
          </w:p>
        </w:tc>
        <w:tc>
          <w:tcPr>
            <w:tcW w:w="0" w:type="dxa"/>
            <w:vAlign w:val="bottom"/>
          </w:tcPr>
          <w:p>
            <w:pPr>
              <w:spacing w:after="0"/>
              <w:rPr>
                <w:sz w:val="1"/>
                <w:szCs w:val="1"/>
                <w:color w:val="auto"/>
              </w:rPr>
            </w:pPr>
          </w:p>
        </w:tc>
      </w:tr>
      <w:tr>
        <w:trPr>
          <w:trHeight w:val="261"/>
        </w:trPr>
        <w:tc>
          <w:tcPr>
            <w:tcW w:w="2380" w:type="dxa"/>
            <w:vAlign w:val="bottom"/>
          </w:tcPr>
          <w:p>
            <w:pPr>
              <w:ind w:left="40"/>
              <w:spacing w:after="0"/>
              <w:rPr>
                <w:sz w:val="20"/>
                <w:szCs w:val="20"/>
                <w:color w:val="auto"/>
              </w:rPr>
            </w:pPr>
            <w:r>
              <w:rPr>
                <w:rFonts w:ascii="Arial" w:cs="Arial" w:eastAsia="Arial" w:hAnsi="Arial"/>
                <w:sz w:val="20"/>
                <w:szCs w:val="20"/>
                <w:color w:val="auto"/>
              </w:rPr>
              <w:t>May 1 - 31, 2016</w:t>
            </w: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85,743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22"/>
                <w:szCs w:val="22"/>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85,743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176,105,137</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June 1 - 30, 2016</w:t>
            </w: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87,502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shd w:val="clear" w:color="auto" w:fill="CCEEFF"/>
          </w:tcPr>
          <w:p>
            <w:pPr>
              <w:spacing w:after="0"/>
              <w:rPr>
                <w:sz w:val="24"/>
                <w:szCs w:val="24"/>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87,502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165,026,549</w:t>
            </w:r>
          </w:p>
        </w:tc>
        <w:tc>
          <w:tcPr>
            <w:tcW w:w="0" w:type="dxa"/>
            <w:vAlign w:val="bottom"/>
          </w:tcPr>
          <w:p>
            <w:pPr>
              <w:spacing w:after="0"/>
              <w:rPr>
                <w:sz w:val="1"/>
                <w:szCs w:val="1"/>
                <w:color w:val="auto"/>
              </w:rPr>
            </w:pPr>
          </w:p>
        </w:tc>
      </w:tr>
      <w:tr>
        <w:trPr>
          <w:trHeight w:val="241"/>
        </w:trPr>
        <w:tc>
          <w:tcPr>
            <w:tcW w:w="2380" w:type="dxa"/>
            <w:vAlign w:val="bottom"/>
          </w:tcPr>
          <w:p>
            <w:pPr>
              <w:ind w:left="40"/>
              <w:spacing w:after="0"/>
              <w:rPr>
                <w:sz w:val="20"/>
                <w:szCs w:val="20"/>
                <w:color w:val="auto"/>
              </w:rPr>
            </w:pPr>
            <w:r>
              <w:rPr>
                <w:rFonts w:ascii="Arial" w:cs="Arial" w:eastAsia="Arial" w:hAnsi="Arial"/>
                <w:sz w:val="20"/>
                <w:szCs w:val="20"/>
                <w:color w:val="auto"/>
              </w:rPr>
              <w:t>Total</w:t>
            </w: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258,890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122.47</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258,890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165,026,549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rFonts w:ascii="Arial" w:cs="Arial" w:eastAsia="Arial" w:hAnsi="Arial"/>
          <w:sz w:val="16"/>
          <w:szCs w:val="16"/>
          <w:color w:val="auto"/>
        </w:rPr>
      </w:pPr>
    </w:p>
    <w:p>
      <w:pPr>
        <w:ind w:left="340" w:hanging="332"/>
        <w:spacing w:after="0" w:line="286"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spacing w:after="0" w:line="311"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8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5920" w:type="dxa"/>
            <w:vAlign w:val="bottom"/>
          </w:tcPr>
          <w:p>
            <w:pPr>
              <w:spacing w:after="0"/>
              <w:rPr>
                <w:sz w:val="17"/>
                <w:szCs w:val="17"/>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7040" w:type="dxa"/>
            <w:vAlign w:val="bottom"/>
            <w:gridSpan w:val="3"/>
          </w:tcPr>
          <w:p>
            <w:pPr>
              <w:ind w:left="260"/>
              <w:spacing w:after="0"/>
              <w:rPr>
                <w:sz w:val="20"/>
                <w:szCs w:val="20"/>
                <w:color w:val="auto"/>
              </w:rPr>
            </w:pPr>
            <w:r>
              <w:rPr>
                <w:rFonts w:ascii="Arial" w:cs="Arial" w:eastAsia="Arial" w:hAnsi="Arial"/>
                <w:sz w:val="18"/>
                <w:szCs w:val="18"/>
                <w:color w:val="auto"/>
                <w:w w:val="95"/>
              </w:rPr>
              <w:t>Certification of Andreas Fibig pursuant to Section 302 of the Sarbanes-Oxley Act of 2002.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704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Alison A. Cornell pursuant to Section 302 of the Sarbanes-Oxley Act of 2002.</w:t>
            </w:r>
          </w:p>
        </w:tc>
      </w:tr>
    </w:tbl>
    <w:p>
      <w:pPr>
        <w:spacing w:after="0" w:line="40" w:lineRule="exact"/>
        <w:rPr>
          <w:rFonts w:ascii="Arial" w:cs="Arial" w:eastAsia="Arial" w:hAnsi="Arial"/>
          <w:sz w:val="16"/>
          <w:szCs w:val="16"/>
          <w:color w:val="auto"/>
        </w:rPr>
      </w:pPr>
    </w:p>
    <w:p>
      <w:pPr>
        <w:ind w:left="1080" w:right="140" w:hanging="1045"/>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101.INS</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101.DEF</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rFonts w:ascii="Arial" w:cs="Arial" w:eastAsia="Arial" w:hAnsi="Arial"/>
          <w:sz w:val="16"/>
          <w:szCs w:val="16"/>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742" w:right="419" w:bottom="1440" w:gutter="0" w:footer="0" w:header="0"/>
        </w:sectPr>
      </w:pPr>
    </w:p>
    <w:bookmarkStart w:id="38" w:name="page39"/>
    <w:bookmarkEnd w:id="38"/>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Alison A. Cornell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Alison A. Cornell</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80"/>
          </w:cols>
          <w:pgMar w:left="240" w:top="580" w:right="879" w:bottom="1440" w:gutter="0" w:footer="0" w:header="0"/>
        </w:sectPr>
      </w:pPr>
    </w:p>
    <w:bookmarkStart w:id="39" w:name="page40"/>
    <w:bookmarkEnd w:id="39"/>
    <w:tbl>
      <w:tblPr>
        <w:tblLayout w:type="fixed"/>
        <w:tblInd w:w="5"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9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840" w:type="dxa"/>
            <w:vAlign w:val="bottom"/>
          </w:tcPr>
          <w:p>
            <w:pPr>
              <w:jc w:val="right"/>
              <w:ind w:right="96"/>
              <w:spacing w:after="0"/>
              <w:rPr>
                <w:sz w:val="20"/>
                <w:szCs w:val="20"/>
                <w:color w:val="auto"/>
              </w:rPr>
            </w:pPr>
            <w:r>
              <w:rPr>
                <w:rFonts w:ascii="Arial" w:cs="Arial" w:eastAsia="Arial" w:hAnsi="Arial"/>
                <w:sz w:val="14"/>
                <w:szCs w:val="14"/>
                <w:color w:val="auto"/>
              </w:rPr>
              <w:t>Number</w:t>
            </w:r>
          </w:p>
        </w:tc>
        <w:tc>
          <w:tcPr>
            <w:tcW w:w="6980" w:type="dxa"/>
            <w:vAlign w:val="bottom"/>
          </w:tcPr>
          <w:p>
            <w:pPr>
              <w:ind w:left="5020"/>
              <w:spacing w:after="0"/>
              <w:rPr>
                <w:sz w:val="20"/>
                <w:szCs w:val="20"/>
                <w:color w:val="auto"/>
              </w:rPr>
            </w:pPr>
            <w:r>
              <w:rPr>
                <w:rFonts w:ascii="Arial" w:cs="Arial" w:eastAsia="Arial" w:hAnsi="Arial"/>
                <w:sz w:val="14"/>
                <w:szCs w:val="14"/>
                <w:color w:val="auto"/>
              </w:rPr>
              <w:t>Description</w:t>
            </w:r>
          </w:p>
        </w:tc>
      </w:tr>
      <w:tr>
        <w:trPr>
          <w:trHeight w:val="255"/>
        </w:trPr>
        <w:tc>
          <w:tcPr>
            <w:tcW w:w="840" w:type="dxa"/>
            <w:vAlign w:val="bottom"/>
          </w:tcPr>
          <w:p>
            <w:pPr>
              <w:jc w:val="right"/>
              <w:ind w:right="436"/>
              <w:spacing w:after="0"/>
              <w:rPr>
                <w:sz w:val="20"/>
                <w:szCs w:val="20"/>
                <w:color w:val="auto"/>
              </w:rPr>
            </w:pPr>
            <w:r>
              <w:rPr>
                <w:rFonts w:ascii="Arial" w:cs="Arial" w:eastAsia="Arial" w:hAnsi="Arial"/>
                <w:sz w:val="18"/>
                <w:szCs w:val="18"/>
                <w:color w:val="auto"/>
                <w:w w:val="85"/>
              </w:rPr>
              <w:t>31.1</w:t>
            </w:r>
          </w:p>
        </w:tc>
        <w:tc>
          <w:tcPr>
            <w:tcW w:w="6980" w:type="dxa"/>
            <w:vAlign w:val="bottom"/>
          </w:tcPr>
          <w:p>
            <w:pPr>
              <w:ind w:left="200"/>
              <w:spacing w:after="0"/>
              <w:rPr>
                <w:sz w:val="20"/>
                <w:szCs w:val="20"/>
                <w:color w:val="auto"/>
              </w:rPr>
            </w:pPr>
            <w:r>
              <w:rPr>
                <w:rFonts w:ascii="Arial" w:cs="Arial" w:eastAsia="Arial" w:hAnsi="Arial"/>
                <w:sz w:val="18"/>
                <w:szCs w:val="18"/>
                <w:color w:val="auto"/>
                <w:w w:val="95"/>
              </w:rPr>
              <w:t>Certification of Andreas Fibig pursuant to Section 302 of the Sarbanes-Oxley Act of 2002.</w:t>
            </w:r>
          </w:p>
        </w:tc>
      </w:tr>
      <w:tr>
        <w:trPr>
          <w:trHeight w:val="270"/>
        </w:trPr>
        <w:tc>
          <w:tcPr>
            <w:tcW w:w="840" w:type="dxa"/>
            <w:vAlign w:val="bottom"/>
          </w:tcPr>
          <w:p>
            <w:pPr>
              <w:jc w:val="right"/>
              <w:ind w:right="436"/>
              <w:spacing w:after="0"/>
              <w:rPr>
                <w:sz w:val="20"/>
                <w:szCs w:val="20"/>
                <w:color w:val="auto"/>
              </w:rPr>
            </w:pPr>
            <w:r>
              <w:rPr>
                <w:rFonts w:ascii="Arial" w:cs="Arial" w:eastAsia="Arial" w:hAnsi="Arial"/>
                <w:sz w:val="18"/>
                <w:szCs w:val="18"/>
                <w:color w:val="auto"/>
                <w:w w:val="85"/>
              </w:rPr>
              <w:t>31.2</w:t>
            </w:r>
          </w:p>
        </w:tc>
        <w:tc>
          <w:tcPr>
            <w:tcW w:w="6980" w:type="dxa"/>
            <w:vAlign w:val="bottom"/>
          </w:tcPr>
          <w:p>
            <w:pPr>
              <w:ind w:left="200"/>
              <w:spacing w:after="0"/>
              <w:rPr>
                <w:sz w:val="20"/>
                <w:szCs w:val="20"/>
                <w:color w:val="auto"/>
              </w:rPr>
            </w:pPr>
            <w:r>
              <w:rPr>
                <w:rFonts w:ascii="Arial" w:cs="Arial" w:eastAsia="Arial" w:hAnsi="Arial"/>
                <w:sz w:val="18"/>
                <w:szCs w:val="18"/>
                <w:color w:val="auto"/>
                <w:w w:val="92"/>
              </w:rPr>
              <w:t>Certification of Alison A. Cornell pursuant to Section 302 of the Sarbanes-Oxley Act of 2002.</w:t>
            </w:r>
          </w:p>
        </w:tc>
      </w:tr>
    </w:tbl>
    <w:p>
      <w:pPr>
        <w:spacing w:after="0" w:line="40" w:lineRule="exact"/>
        <w:rPr>
          <w:sz w:val="20"/>
          <w:szCs w:val="20"/>
          <w:color w:val="auto"/>
        </w:rPr>
      </w:pPr>
    </w:p>
    <w:p>
      <w:pPr>
        <w:ind w:left="1045" w:hanging="1045"/>
        <w:spacing w:after="0" w:line="277" w:lineRule="auto"/>
        <w:tabs>
          <w:tab w:leader="none" w:pos="10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of Andreas Fibig and Alison A. Cornell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424"/>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5"/>
          </w:cols>
          <w:pgMar w:left="275" w:top="580" w:right="55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8, 2016</w:t>
      </w:r>
    </w:p>
    <w:p>
      <w:pPr>
        <w:spacing w:after="0" w:line="6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Alison A. Cornell, certify that:</w:t>
      </w:r>
    </w:p>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8, 2016</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Alison A. Cornell</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Alison A. Cornell</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8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June 30, 2016 as filed with the Securities and Exchange Commission on the date hereof (the "Report"), Andreas Fibig, as Chief Executive Officer, and Alison A. Cornell, as Chief Financial Officer, each hereby certifies, pursuant to 18 U.S.C. Section 1350, as adopted pursuant to Section 906 of the Sarbanes-Oxley Act of 2002, that, to the best of his or her knowledge:</w:t>
      </w:r>
    </w:p>
    <w:p>
      <w:pPr>
        <w:spacing w:after="0" w:line="190" w:lineRule="exact"/>
        <w:rPr>
          <w:sz w:val="20"/>
          <w:szCs w:val="20"/>
          <w:color w:val="auto"/>
        </w:rPr>
      </w:pPr>
    </w:p>
    <w:p>
      <w:pPr>
        <w:ind w:right="2080" w:firstLine="8"/>
        <w:spacing w:after="0" w:line="479"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August 8, 2016</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Alison A. Cornell</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Alison A. Cornell</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August 8, 2016</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lvl w:ilvl="1">
      <w:lvlJc w:val="left"/>
      <w:lvlText w:val="•"/>
      <w:numFmt w:val="bullet"/>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upperLetter"/>
      <w:start w:val="1"/>
    </w:lvl>
    <w:lvl w:ilvl="1">
      <w:lvlJc w:val="left"/>
      <w:lvlText w:val="(%2)"/>
      <w:numFmt w:val="decimal"/>
      <w:start w:val="1"/>
    </w:lvl>
  </w:abstractNum>
  <w:abstractNum w:abstractNumId="20">
    <w:nsid w:val="75A2A8D4"/>
    <w:multiLevelType w:val="hybridMultilevel"/>
    <w:lvl w:ilvl="0">
      <w:lvlJc w:val="left"/>
      <w:lvlText w:val="%1."/>
      <w:numFmt w:val="upperLetter"/>
      <w:start w:val="6"/>
    </w:lvl>
    <w:lvl w:ilvl="1">
      <w:lvlJc w:val="left"/>
      <w:lvlText w:val="%2"/>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32"/>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2019-12-05T07:09:55Z</dcterms:created>
  <dcterms:modified xsi:type="dcterms:W3CDTF">2019-12-05T07:09:55Z</dcterms:modified>
</cp:coreProperties>
</file>