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2420"/>
        <w:spacing w:after="0"/>
        <w:tabs>
          <w:tab w:leader="none" w:pos="81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13-1432060</w:t>
      </w:r>
    </w:p>
    <w:p>
      <w:pPr>
        <w:spacing w:after="0" w:line="59" w:lineRule="exact"/>
        <w:rPr>
          <w:sz w:val="24"/>
          <w:szCs w:val="24"/>
          <w:color w:val="auto"/>
        </w:rPr>
      </w:pPr>
    </w:p>
    <w:p>
      <w:pPr>
        <w:ind w:left="1920"/>
        <w:spacing w:after="0"/>
        <w:tabs>
          <w:tab w:leader="none" w:pos="80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521 West 57th Street, New York, N.Y. 10019-2960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20" w:firstLine="4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Â</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Â</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233" w:lineRule="exact"/>
        <w:rPr>
          <w:sz w:val="24"/>
          <w:szCs w:val="24"/>
          <w:color w:val="auto"/>
        </w:rPr>
      </w:pPr>
    </w:p>
    <w:p>
      <w:pPr>
        <w:ind w:left="11180"/>
        <w:spacing w:after="0" w:line="16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ind w:left="40"/>
        <w:spacing w:after="0" w:line="207" w:lineRule="exact"/>
        <w:tabs>
          <w:tab w:leader="none" w:pos="2320" w:val="left"/>
          <w:tab w:leader="none" w:pos="84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192" w:lineRule="exact"/>
        <w:rPr>
          <w:sz w:val="24"/>
          <w:szCs w:val="24"/>
          <w:color w:val="auto"/>
        </w:rPr>
      </w:pPr>
    </w:p>
    <w:p>
      <w:pPr>
        <w:ind w:left="2340"/>
        <w:spacing w:after="0" w:line="161" w:lineRule="exact"/>
        <w:tabs>
          <w:tab w:leader="none" w:pos="111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pacing w:after="0" w:line="311" w:lineRule="exact"/>
        <w:rPr>
          <w:sz w:val="24"/>
          <w:szCs w:val="24"/>
          <w:color w:val="auto"/>
        </w:rPr>
      </w:pPr>
    </w:p>
    <w:p>
      <w:pPr>
        <w:ind w:left="40"/>
        <w:spacing w:after="0"/>
        <w:tabs>
          <w:tab w:leader="none" w:pos="84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Smaller reporting company</w:t>
      </w:r>
    </w:p>
    <w:p>
      <w:pPr>
        <w:spacing w:after="0" w:line="166" w:lineRule="exact"/>
        <w:rPr>
          <w:sz w:val="24"/>
          <w:szCs w:val="24"/>
          <w:color w:val="auto"/>
        </w:rPr>
      </w:pPr>
    </w:p>
    <w:p>
      <w:pPr>
        <w:ind w:right="196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Â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October 26, 2015: 80,250,212</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2015</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478,573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$8,217 and $9,147, respectively)</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569,608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493,768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275,161</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19,338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17,705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285,622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275,863</w:t>
            </w:r>
          </w:p>
        </w:tc>
        <w:tc>
          <w:tcPr>
            <w:tcW w:w="0" w:type="dxa"/>
            <w:vAlign w:val="bottom"/>
          </w:tcPr>
          <w:p>
            <w:pPr>
              <w:spacing w:after="0"/>
              <w:rPr>
                <w:sz w:val="1"/>
                <w:szCs w:val="1"/>
                <w:color w:val="auto"/>
              </w:rPr>
            </w:pP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589,463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568,729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194,818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141,248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1,638,751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1,710,027</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1,779,422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1,766,746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(1,070,520)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(1,046,478)</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708,902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720,268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932,307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675,484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323,054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76,557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183,047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129,224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129,238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3,911,685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3,494,621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133,056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8,090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216,038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55,228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71,264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37,968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199,697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185,448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518,808</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1,057,992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934,232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46,535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Retirement liabilities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354,507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354,333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118,024</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Other Liabilities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1,628,216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1,453,124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12 1/2¢ par value; authorized 500,000,000 shares; issued 115,858,190 shares as of September</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30, 2015 and December 31, 2014 and outstanding 80,356,014 and 80,777,590 shares as of September 30,</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2015 and December 31, 2014</w:t>
            </w: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Capital in excess of par value</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136,786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140,008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3,569,911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3,350,734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(611,636)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(540,430)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Treasury stock, at cost - 35,502,176 shares as of September 30, 2015 and 35,080,600 shares as of</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2014</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(1,517,659)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(1,446,221)</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1,591,872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1,518,561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217"/>
        </w:trPr>
        <w:tc>
          <w:tcPr>
            <w:tcW w:w="7660" w:type="dxa"/>
            <w:vAlign w:val="bottom"/>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1,596,149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1,522,689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3,911,685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3,494,621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908"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908" w:gutter="0" w:footer="0" w:header="0"/>
          <w:type w:val="continuous"/>
        </w:sectPr>
      </w:pPr>
    </w:p>
    <w:bookmarkStart w:id="2" w:name="page3"/>
    <w:bookmarkEnd w:id="2"/>
    <w:p>
      <w:pPr>
        <w:jc w:val="center"/>
        <w:ind w:left="1120" w:right="2160"/>
        <w:spacing w:after="0" w:line="261" w:lineRule="auto"/>
        <w:rPr>
          <w:sz w:val="20"/>
          <w:szCs w:val="20"/>
          <w:color w:val="auto"/>
        </w:rPr>
      </w:pPr>
      <w:r>
        <w:rPr>
          <w:rFonts w:ascii="Arial" w:cs="Arial" w:eastAsia="Arial" w:hAnsi="Arial"/>
          <w:sz w:val="18"/>
          <w:szCs w:val="18"/>
          <w:b w:val="1"/>
          <w:bCs w:val="1"/>
          <w:color w:val="auto"/>
        </w:rPr>
        <w:t xml:space="preserve">INTERNATIONAL FLAVORS &amp; FRAGRANCES INC. CONSOLIDATED STATEMENT OF COMPREHENSIVE INCOME </w:t>
      </w:r>
      <w:r>
        <w:rPr>
          <w:rFonts w:ascii="Arial" w:cs="Arial" w:eastAsia="Arial" w:hAnsi="Arial"/>
          <w:sz w:val="18"/>
          <w:szCs w:val="18"/>
          <w:color w:val="auto"/>
        </w:rPr>
        <w:t>(AMOUNT IN THOUSANDS EXCEPT PER SHARE AMOUNTS) (Unaudited)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45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765,092</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773,813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2,307,540</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2,332,451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417,966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433,702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1,269,097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1,298,281</w:t>
            </w: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347,126</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1,038,443</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1,034,170</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62,750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63,701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188,725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191,635</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127,663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382,560</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379,864</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Restructuring and other charges, net</w:t>
            </w:r>
          </w:p>
        </w:tc>
        <w:tc>
          <w:tcPr>
            <w:tcW w:w="260" w:type="dxa"/>
            <w:vAlign w:val="bottom"/>
          </w:tcPr>
          <w:p>
            <w:pPr>
              <w:spacing w:after="0"/>
              <w:rPr>
                <w:sz w:val="21"/>
                <w:szCs w:val="21"/>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912</w:t>
            </w: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156,713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467,328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461,759</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34,357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34,048</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142,899</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142,185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436,286</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431,472</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36,452</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96,206</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107,064</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106,447</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107,415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340,080</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324,408</w:t>
            </w: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(48,368)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(81,326)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(26,872)</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gains on derivatives qualifying as hedges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7,806</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16,501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12,716</w:t>
            </w: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(55,388)</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(71,206)</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51,059</w:t>
            </w:r>
          </w:p>
        </w:tc>
        <w:tc>
          <w:tcPr>
            <w:tcW w:w="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92,068</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268,874</w:t>
            </w:r>
          </w:p>
        </w:tc>
        <w:tc>
          <w:tcPr>
            <w:tcW w:w="3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318,058</w:t>
            </w:r>
          </w:p>
        </w:tc>
      </w:tr>
      <w:tr>
        <w:trPr>
          <w:trHeight w:val="67"/>
        </w:trPr>
        <w:tc>
          <w:tcPr>
            <w:tcW w:w="4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78"/>
        </w:trPr>
        <w:tc>
          <w:tcPr>
            <w:tcW w:w="4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3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80,330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80,602</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80,981</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80,737</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81,052</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81,556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0.56</w:t>
            </w:r>
          </w:p>
        </w:tc>
        <w:tc>
          <w:tcPr>
            <w:tcW w:w="3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580" w:right="11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340,080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324,408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65,099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68,678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19,627</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(61,125)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(34,493)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(108,563)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(47,929)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54,482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(45,482)</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34,585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assets/liabilities,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52,594</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294,695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317,503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w w:val="95"/>
              </w:rPr>
              <w:t>Cash paid for acquisitions, net of cash received (including $15 million of contingent consideration</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related to the Aromor acquisition in 2014)</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(493,469)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(97,820)</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(180,536)</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(95,113)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Net change in bank borrowings and overdrafts</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8,926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Repayments of debt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or drawdown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279,998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(52,453)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(128,122)</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478,573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405,505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272,276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404,836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42,871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26,407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71,167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r>
        <w:trPr>
          <w:trHeight w:val="27"/>
        </w:trPr>
        <w:tc>
          <w:tcPr>
            <w:tcW w:w="7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2014 Annual Report on Form 10-K (“2014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September 30 and December 31 are used consistently throughout this Form 10-Q and these interim financial statements and related notes to represent the period-end dates. For the 2015 and 2014 quarters, the actual closing dates were October 2, and September 26,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 and Revisions</w:t>
      </w:r>
    </w:p>
    <w:p>
      <w:pPr>
        <w:spacing w:after="0" w:line="25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Certain prior year amounts have been reclassified to conform with current year presentation. Additionally, an adjustment has been made to accounts payable and accrued liabilities to correct the classification of certain amounts included in the accompanying December 31, 2014 consolidated balance sheet and a corresponding adjustment has been made to the September 30, 2014 consolidated statement of cash flows. These revisions are not considered material to the previously issued financial statements.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September 2015, the Financial Accounting Standards Board ("FASB") issued authoritative guidance relating to the adjustments made during the measurement period for items in a business combination. Specifically, the new guidance would require adjustments related to the finalization of estimates to be recorded in the period when they are determined and to provide certain additional disclosures. This guidance is effective for fiscal years beginning after December 15, 2015, including interim periods within those fiscal years. The Company has determined that the adoption of this guidance will not have a significant impact on its consolidated financial statements.</w:t>
      </w:r>
    </w:p>
    <w:p>
      <w:pPr>
        <w:spacing w:after="0" w:line="13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July 2015, the FASB issued authoritative guidance relating to the measurement of inventory costs, which more closely aligns the measurement of inventory in Generally Accepted Accounting Principles with the measurement of inventory in International Financial Reporting Standards. This guidance is effective for years beginning after December 15, 2016, including interim periods within those fiscal years. The Company does not expect that the adoption of this guidance will have a significant impact on its consolidated financial statements.</w:t>
      </w:r>
    </w:p>
    <w:p>
      <w:pPr>
        <w:spacing w:after="0" w:line="13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In April 2015, the FASB issued authoritative guidance which provides a practical expedient related to the measurement date of defined benefit plan assets and obligations. This guidance is effective for annual and interim periods beginning after December 15, 2015. The Company does not expect that the adoption of this guidance will have a significant impact on its consolidated financial statements.</w:t>
      </w:r>
    </w:p>
    <w:p>
      <w:pPr>
        <w:spacing w:after="0" w:line="12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has determined that the adoption of this guidance will not have a significant impact on its consolidated financial statements.</w:t>
      </w:r>
    </w:p>
    <w:p>
      <w:pPr>
        <w:spacing w:after="0" w:line="1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February 2015, the FASB issued authoritative guidance related to accounting for consolidation of certain legal entities. The guidance will change the analysis that a reporting entity must perform to determine the criteria for consolidating certain types of entities. This guidance is effective for annual and interim periods beginning after December 15, 2015. The Company has determined that the adoption of this guidance will not have a significant impact on its consolidated financial statements.</w:t>
      </w:r>
    </w:p>
    <w:p>
      <w:pPr>
        <w:spacing w:after="0" w:line="13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May 2014, the FASB issued authoritative guidance to clarify the principles to be used to recognize revenue and, in August 2015, issued authoritative guidance delaying the effective adoption date of that guidance by one year. The guidance is applicable to all entities and, based on the revised adoption date, is effective for annual and interim periods beginning after</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580" w:right="319" w:bottom="1440" w:gutter="0" w:footer="0" w:header="0"/>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t>December 15, 2017. Adoption as of the original effective date is permitted. The Company is currently evaluating the impact that this new standard will have on its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from operations from participating in these programs increased approximately $0.2 million for the nine months ended September 30, 2015 compared to an increase of approximately $19.4 million for the nine months ended September 30, 2014. The cost of participating in these programs was immaterial to our results in all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2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80,330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80,942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80,602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575</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80,737</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81,508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81,052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81,556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and nine months ended September 30, 2015 and 2014.</w:t>
      </w:r>
    </w:p>
    <w:p>
      <w:pPr>
        <w:spacing w:after="0" w:line="11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has issued shares of purchased restricted common stock (“PRS”)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 shareholders was less than $0.01 per share for each period presented, and the number of PRS outstanding as of September 30, 2015 and 2014 was immaterial. Net income allocated to such PRS was $0.5 million and $0.6 million during the three months ended September 30, 2015 and 2014, respectively and $1.6 million and $1.9 million during the nine months ended September 30, 2015 and 2014,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Lucas Meyer</w:t>
      </w:r>
    </w:p>
    <w:p>
      <w:pPr>
        <w:spacing w:after="0" w:line="9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During the third quarter of 2015, the Company completed the acquisition of 100% of the outstanding shares of Lucas Meyer Cosmetics, a business of Unipex Group ("Lucas Meyer"). (The total shares acquired include shares effectively acquired pursuant to put and call option agreements). Lucas Meyer was acquired in order to strengthen and expand Fragrance Ingredients. Total consideration was approximately Euro 284 million ($312 million), including approximately $4.8 million of cash acquired. The Company paid Euro 282 million (approximately $310 million) for this acquisition, which was funded from existing resources, and recorded a liability of approximately Euro 2 million (approximately $2 million). The purchase price exceeded the fair value of existing net assets by approximately $289 million. The excess was allocated principally to identifiable intangible assets (approximately $169 million), goodwill (approximately $174 million) and approximately $54 million to deferred taxes. Separately identifiable intangible assets are principally related to customer relationships and proprietary technology. The intangible assets are being amortized using lives ranging from 10-20 years. The purchase price allocation is preliminary pending final valuations and is expected to be completed by the fourth quarter of 2015, with the assignment of final values and applicable useful lives of intangible assets. No pro forma financial information for 2015 is presented as the impact of the acquisition was immaterial to the Consolidated Statement of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Ottens Flavors</w:t>
      </w:r>
    </w:p>
    <w:p>
      <w:pPr>
        <w:spacing w:after="0" w:line="171"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During the second quarter of 2015, the Company completed the acquisition of 100% of the outstanding shares of Henry H. Ottens Manufacturing Co., Inc. ("Ottens Flavors"). Ottens Flavors was acquired in order to strengthen the IFF Flavors business in North America. The Company paid approximately $198.9 million (including approximately $10.4 million of cash acquired)</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6" w:name="page7"/>
    <w:bookmarkEnd w:id="6"/>
    <w:p>
      <w:pPr>
        <w:ind w:right="220"/>
        <w:spacing w:after="0" w:line="297" w:lineRule="auto"/>
        <w:rPr>
          <w:sz w:val="20"/>
          <w:szCs w:val="20"/>
          <w:color w:val="auto"/>
        </w:rPr>
      </w:pPr>
      <w:r>
        <w:rPr>
          <w:rFonts w:ascii="Arial" w:cs="Arial" w:eastAsia="Arial" w:hAnsi="Arial"/>
          <w:sz w:val="16"/>
          <w:szCs w:val="16"/>
          <w:color w:val="auto"/>
        </w:rPr>
        <w:t>for this acquisition, which was funded from existing resources. The purchase price exceeded the fair value of existing net assets by approximately $162 million. The excess was allocated principally to identifiable intangible assets (approximately $85 million) and goodwill (approximately $78 million). Separately identifiable intangible assets are principally related to customer relationships and proprietary flavors technology. The intangible assets are being amortized using lives ranging from 5-17 years. The purchase price allocation is preliminary pending finalization of the purchase price and is expected to be completed by the fourth quarter of 2015. No pro forma financial information for 2015 is presented as the impact of the acquisition is immaterial.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Aromor</w:t>
      </w:r>
    </w:p>
    <w:p>
      <w:pPr>
        <w:spacing w:after="0" w:line="9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During the first quarter of 2014, the Company completed the acquisition of 100% of the equity of Aromor Flavors and Fragrances Ltd. ("Aromor"). Aromor is part of the IFF Fragrances Ingredients business. The Company paid $102.6 million (including $0.1 million of cash acquired) for this acquisition, which was funded from existing resources. The purchase price exceeded the carrying value of existing net assets by approximately $56 million. The excess was allocated principally to identifiable intangible assets (approximately $53 million), goodwill (approximately $10 million) and approximately $9 million to deferred tax liabilities. Separately identifiable intangible assets are principally related to technological know-how. The intangible assets are being amortized using lives ranging from 13-19 years. Additionally, the consideration included $15 million related to post-combination contingent consideration, held in escrow, which is being expensed by the Company as it is earned by the selling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9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2014, the Company closed its fragrance ingredients manufacturing facility in Augusta, Georgia and consolidated production into other Company facilities. In connection with this closure, during 2014, the Company recorded total charges of $13.8 million, consisting of $2.2 million related to severance, $10.3 million related to accelerated depreciation, and $1.3 million in plant shutdown and other related costs. During the nine months ended September 30, 2015, the Company recorded a net credit of $0.2 million principally related to the reversal of severance accruals.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employee-related restructuring liabilities during the nine months ended September 30, 2015, were as follows:</w:t>
      </w:r>
    </w:p>
    <w:p>
      <w:pPr>
        <w:spacing w:after="0" w:line="38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Employee-Related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Costs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Additional charges (reversals), net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 costs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Note 5. Other Intangible Assets, Net:</w:t>
            </w: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420"/>
              <w:spacing w:after="0"/>
              <w:rPr>
                <w:sz w:val="20"/>
                <w:szCs w:val="20"/>
                <w:color w:val="auto"/>
              </w:rPr>
            </w:pPr>
            <w:r>
              <w:rPr>
                <w:rFonts w:ascii="Arial" w:cs="Arial" w:eastAsia="Arial" w:hAnsi="Arial"/>
                <w:sz w:val="18"/>
                <w:szCs w:val="18"/>
                <w:color w:val="auto"/>
                <w:w w:val="94"/>
              </w:rPr>
              <w:t>Other intangible assets, net consist of the following amounts: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carrying value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218,676</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(152,419)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(142,119)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76,557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patents, trademarks, technological know-how and other intellectual property, valued at acquisition.</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intangible assets for the nine months ended September 30, 2015 relates to the acquisitions of Ottens Flavors and Lucas Meyer, as discussed in Note 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Amortization expense was $5.4 million and $1.9 million for the three months ended September 30, 2015 and 2014, respectively and $10.3 million and $5.9 million for the nine months ended September 30, 2015 and 2014, respectively. Annual amortization is expected to be $15.9 million for the full year 2015, $23.9 million for the years 2016 through 2018, and $23.2 million for the years 2019 through 2020.</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Maturities</w:t>
            </w: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- 2007</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Senior notes - 2006</w:t>
            </w:r>
          </w:p>
        </w:tc>
        <w:tc>
          <w:tcPr>
            <w:tcW w:w="12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125,000</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299,782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247,655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overdrafts and other</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5,205</w:t>
            </w:r>
          </w:p>
        </w:tc>
      </w:tr>
      <w:tr>
        <w:trPr>
          <w:trHeight w:val="27"/>
        </w:trPr>
        <w:tc>
          <w:tcPr>
            <w:tcW w:w="46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942,322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(133,056)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(8,090)</w:t>
            </w:r>
          </w:p>
        </w:tc>
      </w:tr>
      <w:tr>
        <w:trPr>
          <w:trHeight w:val="27"/>
        </w:trPr>
        <w:tc>
          <w:tcPr>
            <w:tcW w:w="46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934,232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At September 30, 2015, the Company had $15.5 million of unrecognized tax benefits recorded in Other liabilities and $0.5 million recorded in Other current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September 30, 2015, the Company had accrued interest and penalties of $0.7 million classified in Other liabilities.</w:t>
      </w:r>
    </w:p>
    <w:p>
      <w:pPr>
        <w:spacing w:after="0" w:line="171"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As of September 30, 2015, the Company’s aggregate provisions for uncertain tax positions, including interest and penalties, was $16.7 million associated with various tax positions asserted in foreign jurisdictions, none of which is individually material.</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most significant items are discussed below. In addition, the Company has open tax years with various taxing jurisdictions that range primarily from 2005 to 2014.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capital tax,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Spanish Tax</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December 31, 2014, the Company had one outstanding income tax case in Spain relating to fiscal year 2002, which had been previously appealed by the Company. As of December 31, 2014, the Company had fully reserved the original assessment asserted by the Spanish Tax Authority. During the first quarter of 2015, the Company received a favorable ruling on this appeal and accordingly, reversed the total reserve related to the 2002 fiscal year (with a value of Euro 1.9 million or $2.3 million).</w:t>
      </w:r>
    </w:p>
    <w:p>
      <w:pPr>
        <w:spacing w:after="0" w:line="13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September 30, 2015, the three dividend withholding tax controversies in Spain have now been resolved. The Company made total payments of Euro 4.5 million ($4.9 million) during the second quarter of 2015 related to the resolution of these three controversies.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effective tax rate for the three months ended September 30, 2015 was 25.5% compared with 24.5% for the three months ended September 30, 2014. The quarter-over-quarter increase is largely due to mix of earnings partially offset by lower loss provisions and lower expected repatriation costs in 2015. The effective tax rate for the nine months ended September 30, 2015 was 22.1% compared with 24.8% for the nine months ended September 30, 2014. The year-over-year decrease is</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823" w:right="279" w:bottom="144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color w:val="auto"/>
        </w:rPr>
        <w:t>primarily due to a benefit of $10.5 million recorded in the first quarter of 2015, as a result of favorable tax rulings in Spain and another jurisdiction for which reserves were previously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has various plans under which its officers, senior management, other key employees and directors may be granted equity-based awards. Equity awards outstanding under the plans include PRS, purchased restricted stock units, restricted stock units ("RSUs"), stock options, SSARs and Long-Term Incentive Plan awards; liability-based awards outstanding under the plans are cash-settled RSUs.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3,216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15,873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On May 6, 2015, the shareholders of the Company approved the 2015 Stock Award and Incentive Plan (the "2015 Plan"). The 2015 Plan replaces the 2010 Stock Award and Incentive Plan (the “2010 Plan”). The total number of shares authorized for issuance under the Plan is 1,500,000 shares plus shares that remained available for issuance under the 2010 Plan as of May 6, 2015 and any shares subject to outstanding awards under the 2010 Plan that are cancelled, forfeited or expire.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359,103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358,708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1,108,689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1,100,726</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405,989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415,105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1,198,851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1,231,725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765,092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773,813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2,307,540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2,332,451</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79,803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79,747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256,546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258,614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259,253</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(49,182)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and related costs (1)</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 (2)</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156,713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152,590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467,328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461,759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3,761</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142,899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142,185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436,286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431,472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6" w:right="239" w:bottom="1440" w:gutter="0" w:footer="0" w:header="0"/>
          <w:type w:val="continuous"/>
        </w:sectPr>
      </w:pPr>
    </w:p>
    <w:bookmarkStart w:id="9" w:name="page10"/>
    <w:bookmarkEnd w:id="9"/>
    <w:p>
      <w:pPr>
        <w:ind w:left="340" w:right="10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related costs are associated with the acquisitions of Ottens Flavors and Lucas Meyer as discussed in Note 3, including inventory step-up charges related to the inventory acquired.</w:t>
      </w:r>
    </w:p>
    <w:p>
      <w:pPr>
        <w:spacing w:after="0" w:line="1" w:lineRule="exact"/>
        <w:rPr>
          <w:rFonts w:ascii="Arial" w:cs="Arial" w:eastAsia="Arial" w:hAnsi="Arial"/>
          <w:sz w:val="18"/>
          <w:szCs w:val="18"/>
          <w:color w:val="auto"/>
        </w:rPr>
      </w:pPr>
    </w:p>
    <w:p>
      <w:pPr>
        <w:ind w:left="340" w:right="320" w:hanging="332"/>
        <w:spacing w:after="0" w:line="29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Operational improvement initiative costs relate to the closing of a smaller facility in Europe in the 2014 period and certain manufacturing activities in Asia in both the 2015 and 2014 periods, while transferring production to larger facilities in each respective region.</w:t>
      </w:r>
    </w:p>
    <w:p>
      <w:pPr>
        <w:spacing w:after="0" w:line="108" w:lineRule="exact"/>
        <w:rPr>
          <w:sz w:val="20"/>
          <w:szCs w:val="20"/>
          <w:color w:val="auto"/>
        </w:rPr>
      </w:pPr>
    </w:p>
    <w:p>
      <w:pPr>
        <w:ind w:right="380" w:firstLine="405"/>
        <w:spacing w:after="0" w:line="297" w:lineRule="auto"/>
        <w:rPr>
          <w:sz w:val="20"/>
          <w:szCs w:val="20"/>
          <w:color w:val="auto"/>
        </w:rPr>
      </w:pPr>
      <w:r>
        <w:rPr>
          <w:rFonts w:ascii="Arial" w:cs="Arial" w:eastAsia="Arial" w:hAnsi="Arial"/>
          <w:sz w:val="16"/>
          <w:szCs w:val="16"/>
          <w:color w:val="auto"/>
        </w:rPr>
        <w:t>Net sales are attributed to individual regions based upon the destination of product delivery. Net sales related to the U.S. for the three months ended September 30, 2015 and 2014 were $182 million and $162 million, respectively and for the nine months ended September 30, 2015 and 2014 were $520 million and $495 million, respectively. Net sales attributed to all foreign countries in total for the three months ended September 30, 2015 and 2014 were $583 million and $612 million, respectively and for the nine months ended September 30, 2015 and 2014 were $1,788 million and $1,837 million, respectively. No country other than the U.S. had net sales in any period presented greater than 9.0% of total consolidated net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17,860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18,812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15,607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13,229</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5,866</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40" w:type="dxa"/>
            <w:vAlign w:val="bottom"/>
          </w:tcPr>
          <w:p>
            <w:pPr>
              <w:spacing w:after="0"/>
              <w:rPr>
                <w:sz w:val="24"/>
                <w:szCs w:val="24"/>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24"/>
                <w:szCs w:val="24"/>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25,250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8,012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due to settlements and special terminations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6,285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10,793</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expects to contribute a total of approximately $30 million to its non-U.S. pension plans during 2015. During the three months ended September 30, 2015, there were no contributions made to the qualified U.S. pension plans, but during the nine months ended September 30, 2015, $35.0 million of contributions were made. In the three and nine months ended September 30, 2015, $3.6 million and $26.1 million of contributions were made to the non-U.S. plans, respectively. In the three and nine months ended September 30, 2015, $1.1 million and $3.2 million of benefit payments were made with respect to the Company’s non-qualified U.S. pension plan,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3,672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1,561</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02"/>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37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ind w:right="18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2015. In the three and nine months ended September 30, 2015, $1.4 million and $4.8 million of contributions were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2014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September 30, 2015.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recorded in the balance sheet (carrying amount) and the estimated fair values of financial instruments at September 30,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2015</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272,276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272,276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478,573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478,573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262,521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262,521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12,335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576,155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587,650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299,802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299,577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299,782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296,290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ind w:right="220" w:firstLine="405"/>
        <w:spacing w:after="0" w:line="293" w:lineRule="auto"/>
        <w:rPr>
          <w:sz w:val="20"/>
          <w:szCs w:val="20"/>
          <w:color w:val="auto"/>
        </w:rPr>
      </w:pPr>
      <w:r>
        <w:rPr>
          <w:rFonts w:ascii="Arial" w:cs="Arial" w:eastAsia="Arial" w:hAnsi="Arial"/>
          <w:sz w:val="16"/>
          <w:szCs w:val="16"/>
          <w:color w:val="auto"/>
        </w:rPr>
        <w:t>During the nine months ended September 30, 2015 and the year ended December 31, 2014,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Four of these forward currency contracts matured during the nine months ended September 30, 2015.</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nine months ended September 30, 2015 and the year ended December 31, 2014,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3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During 2015 and 2014, the Company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nine months ended September 30,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September 30, 2015 and December 31, 2014: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283,550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191,150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425,000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September 30, 2015 and December 31, 2014: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6,690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2,149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3,725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2,263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648"/>
        </w:trPr>
        <w:tc>
          <w:tcPr>
            <w:tcW w:w="4000" w:type="dxa"/>
            <w:vAlign w:val="bottom"/>
          </w:tcPr>
          <w:p>
            <w:pPr>
              <w:spacing w:after="0"/>
              <w:rPr>
                <w:sz w:val="24"/>
                <w:szCs w:val="24"/>
                <w:color w:val="auto"/>
              </w:rPr>
            </w:pP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right"/>
              <w:ind w:right="5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21,035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nine months ended September 30, 2015 and 2014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4"/>
              </w:rPr>
              <w:t>Amount of Gain (Loss)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40" w:type="dxa"/>
            <w:vAlign w:val="bottom"/>
            <w:gridSpan w:val="4"/>
          </w:tcPr>
          <w:p>
            <w:pPr>
              <w:jc w:val="center"/>
              <w:ind w:left="58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5"/>
              </w:rPr>
              <w:t>Derivative</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17,517</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3"/>
          </w:tcPr>
          <w:p>
            <w:pPr>
              <w:jc w:val="center"/>
              <w:ind w:right="19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40" w:type="dxa"/>
            <w:vAlign w:val="bottom"/>
            <w:gridSpan w:val="4"/>
          </w:tcPr>
          <w:p>
            <w:pPr>
              <w:jc w:val="center"/>
              <w:ind w:left="58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5"/>
              </w:rPr>
              <w:t>Derivative</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18,942</w:t>
            </w:r>
          </w:p>
        </w:tc>
        <w:tc>
          <w:tcPr>
            <w:tcW w:w="120" w:type="dxa"/>
            <w:vAlign w:val="bottom"/>
            <w:shd w:val="clear" w:color="auto" w:fill="CCEEFF"/>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and nine months ended September 30, 2015 and 2014 (in thousands):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vMerge w:val="restart"/>
          </w:tcPr>
          <w:p>
            <w:pPr>
              <w:jc w:val="center"/>
              <w:ind w:left="440"/>
              <w:spacing w:after="0"/>
              <w:rPr>
                <w:sz w:val="20"/>
                <w:szCs w:val="20"/>
                <w:color w:val="auto"/>
              </w:rPr>
            </w:pPr>
            <w:r>
              <w:rPr>
                <w:rFonts w:ascii="Arial" w:cs="Arial" w:eastAsia="Arial" w:hAnsi="Arial"/>
                <w:sz w:val="14"/>
                <w:szCs w:val="14"/>
                <w:b w:val="1"/>
                <w:bCs w:val="1"/>
                <w:color w:val="auto"/>
                <w:w w:val="92"/>
              </w:rPr>
              <w:t>Amount of (Loss) Gain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w w:val="94"/>
              </w:rPr>
              <w:t>Amount of (Loss) Gain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center"/>
              <w:ind w:left="459"/>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6"/>
              </w:rPr>
              <w:t>Portion)</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860" w:type="dxa"/>
            <w:vAlign w:val="bottom"/>
            <w:tcBorders>
              <w:top w:val="single" w:sz="8" w:color="auto"/>
            </w:tcBorders>
            <w:gridSpan w:val="4"/>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840" w:type="dxa"/>
            <w:vAlign w:val="bottom"/>
            <w:tcBorders>
              <w:top w:val="single" w:sz="8" w:color="auto"/>
            </w:tcBorders>
            <w:gridSpan w:val="5"/>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(7,794)</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6,956</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1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2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67"/>
        </w:trPr>
        <w:tc>
          <w:tcPr>
            <w:tcW w:w="3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3"/>
            <w:vMerge w:val="restart"/>
          </w:tcPr>
          <w:p>
            <w:pPr>
              <w:jc w:val="center"/>
              <w:ind w:left="440"/>
              <w:spacing w:after="0"/>
              <w:rPr>
                <w:sz w:val="20"/>
                <w:szCs w:val="20"/>
                <w:color w:val="auto"/>
              </w:rPr>
            </w:pPr>
            <w:r>
              <w:rPr>
                <w:rFonts w:ascii="Arial" w:cs="Arial" w:eastAsia="Arial" w:hAnsi="Arial"/>
                <w:sz w:val="14"/>
                <w:szCs w:val="14"/>
                <w:b w:val="1"/>
                <w:bCs w:val="1"/>
                <w:color w:val="auto"/>
                <w:w w:val="92"/>
              </w:rPr>
              <w:t>Amount of (Loss) Gain</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center"/>
              <w:ind w:left="439"/>
              <w:spacing w:after="0" w:line="153" w:lineRule="exact"/>
              <w:rPr>
                <w:sz w:val="20"/>
                <w:szCs w:val="20"/>
                <w:color w:val="auto"/>
              </w:rPr>
            </w:pPr>
            <w:r>
              <w:rPr>
                <w:rFonts w:ascii="Arial" w:cs="Arial" w:eastAsia="Arial" w:hAnsi="Arial"/>
                <w:sz w:val="14"/>
                <w:szCs w:val="14"/>
                <w:b w:val="1"/>
                <w:bCs w:val="1"/>
                <w:color w:val="auto"/>
                <w:w w:val="94"/>
              </w:rPr>
              <w:t>Amount of (Loss) Gain</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center"/>
              <w:ind w:left="459"/>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center"/>
              <w:ind w:left="440"/>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6"/>
              </w:rPr>
              <w:t>Portion)</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860" w:type="dxa"/>
            <w:vAlign w:val="bottom"/>
            <w:tcBorders>
              <w:top w:val="single" w:sz="8" w:color="auto"/>
            </w:tcBorders>
            <w:gridSpan w:val="4"/>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840" w:type="dxa"/>
            <w:vAlign w:val="bottom"/>
            <w:tcBorders>
              <w:top w:val="single" w:sz="8" w:color="auto"/>
            </w:tcBorders>
            <w:gridSpan w:val="5"/>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(1,815)</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7,601</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11,540</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5"/>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2,984</w:t>
            </w: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13,203</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2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w:t>
      </w:r>
    </w:p>
    <w:p>
      <w:pPr>
        <w:spacing w:after="0" w:line="225"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No ineffectiveness was experienced in the above noted cash flow hedges during the three and nine months ended September 30, 2015 and 2014. The ineffective portion of the net investment hedges was not material during the three and nine months ended September 30, 2015 and 2014.</w:t>
      </w:r>
    </w:p>
    <w:p>
      <w:pPr>
        <w:spacing w:after="0" w:line="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expects that approximately $8.7 million (net of tax) of derivative gains included in AOCI at September 30, 2015, based on current market rates, will be reclassified into earnings within the next 12 months. The majority of this amount will vary due to fluctuations in foreign currency exchange rates.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2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16,501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16,501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(254,668)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5,990</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(362,958)</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(611,636)</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2015</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12,716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(131,150)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(271,705)</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(399,061)</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2014</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provides details about reclassifications out of accumulated other comprehensive income to the Consolidated Statement of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5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6"/>
                <w:szCs w:val="16"/>
                <w:color w:val="auto"/>
              </w:rPr>
            </w:pPr>
          </w:p>
        </w:tc>
        <w:tc>
          <w:tcPr>
            <w:tcW w:w="150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September 30, 2014</w:t>
            </w: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20" w:type="dxa"/>
            <w:vAlign w:val="bottom"/>
            <w:tcBorders>
              <w:bottom w:val="single" w:sz="8" w:color="CCEEFF"/>
            </w:tcBorders>
            <w:shd w:val="clear" w:color="auto" w:fill="CCEEFF"/>
          </w:tcPr>
          <w:p>
            <w:pPr>
              <w:spacing w:after="0"/>
              <w:rPr>
                <w:sz w:val="24"/>
                <w:szCs w:val="24"/>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(Losses) gains on pension and postretirement liability</w:t>
            </w: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Settlements / Curtailments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(21,648)</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13 of our 2014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At September 30, 2015, we had total bank guarantees and standby letters of credit of approximately $31.3 million with various financial institutions. Included in the above aggregate amount is a total of $13.2 million in bank guarantees which the Company has posted for certain assessments in Brazil for other diverse income tax and indirect tax disputes related to fiscal years 1998-2011. There were no material amounts utilized under the standby letters of credit as of September 30, 2015.</w:t>
      </w:r>
    </w:p>
    <w:p>
      <w:pPr>
        <w:spacing w:after="0" w:line="13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$12.0 million as of September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ectPr>
          <w:pgSz w:w="11900" w:h="16838" w:orient="portrait"/>
          <w:cols w:equalWidth="0" w:num="1">
            <w:col w:w="11420"/>
          </w:cols>
          <w:pgMar w:left="240" w:top="823" w:right="239" w:bottom="23" w:gutter="0" w:footer="0" w:header="0"/>
        </w:sectPr>
      </w:pPr>
    </w:p>
    <w:bookmarkStart w:id="15" w:name="page16"/>
    <w:bookmarkEnd w:id="15"/>
    <w:p>
      <w:pPr>
        <w:ind w:right="6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At September 30, 2015, we had available lines of credit (in addition to the Credit Facility discussed in Note 8 of our 2014 Form 10-K) of approximately $68.0 million with various financial institutions. There were no significant amounts drawn down pursuant to these lines of credit as of September 30,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w:t>
      </w: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06" w:right="299" w:bottom="1440" w:gutter="0" w:footer="0" w:header="0"/>
        </w:sectPr>
      </w:pPr>
    </w:p>
    <w:bookmarkStart w:id="16" w:name="page17"/>
    <w:bookmarkEnd w:id="16"/>
    <w:p>
      <w:pPr>
        <w:ind w:right="40"/>
        <w:spacing w:after="0" w:line="279" w:lineRule="auto"/>
        <w:rPr>
          <w:sz w:val="20"/>
          <w:szCs w:val="20"/>
          <w:color w:val="auto"/>
        </w:rPr>
      </w:pPr>
      <w:r>
        <w:rPr>
          <w:rFonts w:ascii="Arial" w:cs="Arial" w:eastAsia="Arial" w:hAnsi="Arial"/>
          <w:sz w:val="17"/>
          <w:szCs w:val="17"/>
          <w:color w:val="auto"/>
        </w:rPr>
        <w:t>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56"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jc w:val="both"/>
        <w:ind w:right="80"/>
        <w:spacing w:after="0" w:line="255"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Odor Matter</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 has been notified by Chinese authorities of compliance issues pertaining to the emission of odors from several of its plants in China. The Company has been addressing these issues by making investments in additional odor-abatement equipment.</w:t>
      </w:r>
    </w:p>
    <w:p>
      <w:pPr>
        <w:spacing w:after="0" w:line="35" w:lineRule="exact"/>
        <w:rPr>
          <w:sz w:val="20"/>
          <w:szCs w:val="20"/>
          <w:color w:val="auto"/>
        </w:rPr>
      </w:pPr>
    </w:p>
    <w:p>
      <w:pPr>
        <w:ind w:right="300" w:firstLine="405"/>
        <w:spacing w:after="0" w:line="255" w:lineRule="auto"/>
        <w:rPr>
          <w:sz w:val="20"/>
          <w:szCs w:val="20"/>
          <w:color w:val="auto"/>
        </w:rPr>
      </w:pPr>
      <w:r>
        <w:rPr>
          <w:rFonts w:ascii="Arial" w:cs="Arial" w:eastAsia="Arial" w:hAnsi="Arial"/>
          <w:sz w:val="18"/>
          <w:szCs w:val="18"/>
          <w:color w:val="auto"/>
        </w:rPr>
        <w:t>The Company’s Flavors facility in China was temporarily idled and another facility is currently operating at a reduced workload. The Company has been making and will continue to make additional odor-abatement investments across all of its China facilities while it continues to work with the various authorities in China. To meet production requirements, the Company has moved a portion of its Chinese Flavors production to other IFF and third party facilities. 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$25.2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discovery with a trial on the merits anticipated in mid-2016.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2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Based on the information available as of September 30, 2015, we estimate a range of reasonably possible loss related to the matters above, collectively, is $0-$31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create, manufacture and supply flavors and fragrances that are used in the food, beverage, personal care and household products industries either in the form of compounds or individual ingredients, including cosmetic active ingredients. Our flavors and fragrance compounds combine a large number of ingredients that are blended, mixed or reacted together to produce proprietary formulas created by our perfumers and flavorists.</w:t>
      </w:r>
    </w:p>
    <w:p>
      <w:pPr>
        <w:spacing w:after="0" w:line="11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more regional in nature, with different formulas that reflect local tastes and ingredients. As a leading creator of flavors, we help our customers deliver on the promise of delicious and healthy foods and drinks that appeal to consumers. Our flavors compounds are ultimately used by our customers in four end-use categories: (1) Savory, (2) Beverages, (3) Sweet, pharmaceutical and oral care (“Sweet”), and (4) Dairy.</w:t>
      </w:r>
    </w:p>
    <w:p>
      <w:pPr>
        <w:spacing w:after="0" w:line="134" w:lineRule="exact"/>
        <w:rPr>
          <w:sz w:val="20"/>
          <w:szCs w:val="20"/>
          <w:color w:val="auto"/>
        </w:rPr>
      </w:pPr>
    </w:p>
    <w:p>
      <w:pPr>
        <w:jc w:val="both"/>
        <w:ind w:right="140" w:firstLine="405"/>
        <w:spacing w:after="0" w:line="288" w:lineRule="auto"/>
        <w:rPr>
          <w:sz w:val="20"/>
          <w:szCs w:val="20"/>
          <w:color w:val="auto"/>
        </w:rPr>
      </w:pPr>
      <w:r>
        <w:rPr>
          <w:rFonts w:ascii="Arial" w:cs="Arial" w:eastAsia="Arial" w:hAnsi="Arial"/>
          <w:sz w:val="16"/>
          <w:szCs w:val="16"/>
          <w:color w:val="auto"/>
        </w:rPr>
        <w:t>Our fragrances are a key component in the world’s finest perfumes and best-known consumer brands, including beauty care, fabric care, personal wash and home care products. Our Fragrances business consists of Fragrance Compounds and Fragrance Ingredients. Our Fragrance Compounds are defined into broad market categories, (1) Fine Fragrances and (2) Consumer Fragrances. Consumer Fragrances consists of five end-use categories: (1) Fabric Care, (2)</w:t>
      </w:r>
    </w:p>
    <w:p>
      <w:pPr>
        <w:ind w:right="40"/>
        <w:spacing w:after="0" w:line="255" w:lineRule="auto"/>
        <w:rPr>
          <w:sz w:val="20"/>
          <w:szCs w:val="20"/>
          <w:color w:val="auto"/>
        </w:rPr>
      </w:pPr>
      <w:r>
        <w:rPr>
          <w:rFonts w:ascii="Arial" w:cs="Arial" w:eastAsia="Arial" w:hAnsi="Arial"/>
          <w:sz w:val="18"/>
          <w:szCs w:val="18"/>
          <w:color w:val="auto"/>
        </w:rPr>
        <w:t>Home Care, (3) Personal Wash, (4) Hair Care and (5) Toiletries. In addition, Fragrance Ingredients (which includes Lucas Meyer as of July 31, 2015), that are used internally and sold to third parties, including customers and competitors, for use in preparation of compounds, are included in the Fragrances business unit.</w:t>
      </w:r>
    </w:p>
    <w:p>
      <w:pPr>
        <w:spacing w:after="0" w:line="13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 In 2014, the flavors and fragrances market, in which we compete, was estimated to be at least $18 billion; however the exact size of the global market is not available due to fragmentation of data. We, together with the other top three companies, are estimated to comprise approximately two-thirds of the total estimated sales in the global flavors and fragrances sub-segment of the broader market.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2020</w:t>
      </w:r>
    </w:p>
    <w:p>
      <w:pPr>
        <w:spacing w:after="0" w:line="17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During the second quarter of 2015, the Company announced its Vision 2020 strategy, which focuses on building differentiation and accelerating profitable growth. The strategy has four pillars:</w:t>
      </w:r>
    </w:p>
    <w:p>
      <w:pPr>
        <w:spacing w:after="0" w:line="116"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Win Where We Compete - achieve a #1 or #2 market leadership position in key markets and categories, and with specific customers.</w:t>
      </w:r>
    </w:p>
    <w:p>
      <w:pPr>
        <w:spacing w:after="0" w:line="171" w:lineRule="exact"/>
        <w:rPr>
          <w:rFonts w:ascii="Arial" w:cs="Arial" w:eastAsia="Arial" w:hAnsi="Arial"/>
          <w:sz w:val="18"/>
          <w:szCs w:val="18"/>
          <w:color w:val="auto"/>
        </w:rPr>
      </w:pPr>
    </w:p>
    <w:p>
      <w:pPr>
        <w:ind w:right="100" w:firstLine="41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Innovating Firsts - strengthen our position and drive differentiation in priority R&amp;D platforms such as delivery systems, modulation, new molecules and naturals.</w:t>
      </w:r>
    </w:p>
    <w:p>
      <w:pPr>
        <w:spacing w:after="0" w:line="116" w:lineRule="exact"/>
        <w:rPr>
          <w:rFonts w:ascii="Arial" w:cs="Arial" w:eastAsia="Arial" w:hAnsi="Arial"/>
          <w:sz w:val="18"/>
          <w:szCs w:val="18"/>
          <w:color w:val="auto"/>
        </w:rPr>
      </w:pPr>
    </w:p>
    <w:p>
      <w:pPr>
        <w:ind w:right="140" w:firstLine="41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Become Our Customers' Partner of Choice - attain commercial excellence by providing our customers with in-depth local consumer understanding, industry-leading innovation, outstanding service and the highest quality products.</w:t>
      </w:r>
    </w:p>
    <w:p>
      <w:pPr>
        <w:spacing w:after="0" w:line="116" w:lineRule="exact"/>
        <w:rPr>
          <w:rFonts w:ascii="Arial" w:cs="Arial" w:eastAsia="Arial" w:hAnsi="Arial"/>
          <w:sz w:val="18"/>
          <w:szCs w:val="18"/>
          <w:color w:val="auto"/>
        </w:rPr>
      </w:pPr>
    </w:p>
    <w:p>
      <w:pPr>
        <w:ind w:right="20" w:firstLine="41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and Expand the Portfolio - actively pursue value-creation through partnerships, collaborations, and acquisitions within flavors, fragrances and adjacencies.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Talent and Organization, Continuous Improvement, and Sustainability enable the successful execution of Vision 2020.</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also announced its long-term financial targets for 2016 to 2020. These include 4-6% currency neutral sales growth, 7-9% currency neutral operating profit growth, and 10% currency neutral EPS growth. In addition to these organic goals, the Company is also targeting $500 million to $1 billion of sales growth through acquisitions by 2020. Leveraging its strong cash flow generation and commitment to Vision 2020, the Company increased its targeted cash return to shareholders to 50-60% of adjusted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Progress</w:t>
      </w:r>
    </w:p>
    <w:p>
      <w:pPr>
        <w:spacing w:after="0" w:line="9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the third quarter of 2015, we completed the acquisition of 100% of the outstanding shares of Lucas Meyer Cosmetics, a business of Unipex Group, ("Lucas Meyer") for approximately Euro 284 million ($312 million). (The total shares acquired include shares effectively acquired pursuant to put and call option agreements). This acquisition did not have a</w:t>
      </w: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material impact on our Consolidated Statement of Comprehensive Income. The acquisition strengthened and expanded Fragrance Ingredients.</w:t>
      </w:r>
    </w:p>
    <w:p>
      <w:pPr>
        <w:spacing w:after="0" w:line="26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the second quarter of 2015, we completed the acquisition of 100% of the outstanding shares of Henry H. Ottens Manufacturing Co., Inc. ("Ottens Flavors") for approximately $198.9 million. The acquisition did not have a material impact on our consolidated financial statements. The acquisition strengthened our position in the targeted North American market for Flavors.</w:t>
      </w:r>
    </w:p>
    <w:p>
      <w:pPr>
        <w:spacing w:after="0" w:line="127" w:lineRule="exact"/>
        <w:rPr>
          <w:sz w:val="20"/>
          <w:szCs w:val="20"/>
          <w:color w:val="auto"/>
        </w:rPr>
      </w:pPr>
    </w:p>
    <w:p>
      <w:pPr>
        <w:jc w:val="both"/>
        <w:ind w:right="140" w:firstLine="405"/>
        <w:spacing w:after="0" w:line="279" w:lineRule="auto"/>
        <w:rPr>
          <w:sz w:val="20"/>
          <w:szCs w:val="20"/>
          <w:color w:val="auto"/>
        </w:rPr>
      </w:pPr>
      <w:r>
        <w:rPr>
          <w:rFonts w:ascii="Arial" w:cs="Arial" w:eastAsia="Arial" w:hAnsi="Arial"/>
          <w:sz w:val="17"/>
          <w:szCs w:val="17"/>
          <w:color w:val="auto"/>
        </w:rPr>
        <w:t>Net sales during the third quarter of 2015 declined 1% on a reported basis but increased 7% on a currency neutral basis (which excludes the effects of changes in currency), with the effects of acquisitions contributing approximately 3% to both reported and currency neutral basis growth rates. The currency neutral growth of 4%, excluding acquisitions, reflects new win performance (net of losses) in Fragrance Compounds and Flavors and lower volume erosion on existing business, which was partially offset by declines in Fragrance Ingredients.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Exchange rate fluctuations had an 800 basis point (bps) unfavorable impact on net sales for the third quarter, driven mainly by the weakening of the Euro against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Gross margins increased year-over-year to 45.4% in the third quarter of 2015 from 44.0% in the 2014 period. Included in the third quarter of 2015 was $2.8 million of acquisition-related inventory "step-up" costs and costs associated with operational improvement initiatives, compared to $0.3 million of costs related to operational improvement initiatives included in the 2014 period. Excluding these items, gross margin increased 30 bps compared to the prior year period. The overall raw material cost base is essentially benign. We believe input costs will increase less than 1% in 2015 as higher prices on certain categories, such as naturals, will largely offset benefits associated with oil-based derivatives that are expected to occur later in 2015. We continue to seek improvements in our margins through operational performance, cost reduction efforts and mix enhancement.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Reported sales in the third quarter of 2015 decreased approximately 1%. In currency neutral terms, sales increased 7%, reflecting new win performance in both Fragrance Compounds and Flavors, lower volume erosion on existing business and the effect of acquisitions (which added approximately 3% to both reported and currency neutral basis amounts). We continue to benefit from our diverse portfolio of end-use product categories and geographies and had growth in two of our four regions and currency neutral growth in both Consumer Fragrances and Flavors. Flavors realized currency neutral growth of 8% for the third quarter of 2015, including approximately half of the growth coming from acquisitions. Our Fragrance business achieved currency neutral growth of 6%, with approximately one-third of the growth coming from acquisitions. Fragrances growth principally reflects new win performance in our Consumer Fragrances end-use categories, led by sales in Fabric Care. Growth in Fragrance Ingredients was driven entirely by the inclusion of acquisitions. Overall, our third quarter 2015 results include 4% from developed markets and 3% from emerging markets which each represented 50% of currency neutral sales. From a geographic perspective, for the third quarter, North America (NOAM), Europe, Africa and the Middle East (EAME), Latin America (LA) and Greater Asia (GA) all delivered currency neutral growth in 2015, led by NOAM with 13%.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Operating profit increased $4.1 million to $156.7 million (20.5% of sales) in the 2015 third quarter compared to $152.6 million (19.7% of sales) in the comparable 2014 period. The three months ended September 30, 2015 included operational improvement initiative costs of $0.3 million and $6.8 million of acquisition related costs compared to $0.9 million of restructuring and operational improvement initiative costs in the prior year period. Excluding these charges, adjusted operating profit was $163.8 million (21.4% of sales) for the third quarter of 2015 compared to $153.5 million (19.8% of sales) for the third quarter of 2014. Foreign currency changes had an unfavorable impact on operating profit of approximately 3% in the third quarter of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7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Other expense (income), net decreased $2.6 million to $2.0 million of expense in the third quarter of 2015 compared to $0.6 million of income in the third quarter of 2014. The year-over-year decrease is primarily driven by lower foreign exchange gains on working capital and lower mark-to-market adjustments on deferred compensation plan assets during 2015 compared to the 2014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665"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income decreased by $1.0 million quarter-over-quarter to $106.4 million for the third quarter of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Cash flows from operations for the nine months ended September 30, 2015 were $294.7 million or 12.8% of sales, compared to cash inflow from operations of $317.5 million or 13.6% of sales for the nine months ended September 30, 2014. The decrease in cash flow from operations in 2015 reflects higher cash outflows from core working capital (trade receivables, inventories and accounts payable) and higher pension contributions in the 2015 period, which were only partially offset by higher net income and lower payments for incentive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8"/>
              </w:rPr>
              <w:t>Three Months Ended September 30,</w:t>
            </w:r>
          </w:p>
        </w:tc>
        <w:tc>
          <w:tcPr>
            <w:tcW w:w="1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8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2"/>
                <w:szCs w:val="12"/>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EXCEPT PER SHARE AMOUNTS)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765,092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773,813</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2,307,540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2,332,451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417,966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433,702</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1,269,097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1,298,281</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347,126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340,111</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1,038,443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1,034,170</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80" w:type="dxa"/>
            <w:vAlign w:val="bottom"/>
            <w:gridSpan w:val="3"/>
          </w:tcPr>
          <w:p>
            <w:pPr>
              <w:ind w:left="40"/>
              <w:spacing w:after="0"/>
              <w:rPr>
                <w:sz w:val="20"/>
                <w:szCs w:val="20"/>
                <w:color w:val="auto"/>
              </w:rPr>
            </w:pPr>
            <w:r>
              <w:rPr>
                <w:rFonts w:ascii="Arial" w:cs="Arial" w:eastAsia="Arial" w:hAnsi="Arial"/>
                <w:sz w:val="18"/>
                <w:szCs w:val="18"/>
                <w:color w:val="auto"/>
                <w:w w:val="91"/>
              </w:rPr>
              <w:t>Research and development (R&amp;D)</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62,750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63,701</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188,725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191,635</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Selling and administrative (S&amp;A)</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127,663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123,212</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4 %</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382,560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379,864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580" w:type="dxa"/>
            <w:vAlign w:val="bottom"/>
            <w:gridSpan w:val="3"/>
          </w:tcPr>
          <w:p>
            <w:pPr>
              <w:ind w:left="40"/>
              <w:spacing w:after="0"/>
              <w:rPr>
                <w:sz w:val="20"/>
                <w:szCs w:val="20"/>
                <w:color w:val="auto"/>
              </w:rPr>
            </w:pPr>
            <w:r>
              <w:rPr>
                <w:rFonts w:ascii="Arial" w:cs="Arial" w:eastAsia="Arial" w:hAnsi="Arial"/>
                <w:sz w:val="18"/>
                <w:szCs w:val="18"/>
                <w:color w:val="auto"/>
                <w:w w:val="96"/>
              </w:rPr>
              <w:t>Restructuring and other charges,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net</w:t>
            </w:r>
          </w:p>
        </w:tc>
        <w:tc>
          <w:tcPr>
            <w:tcW w:w="28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608</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912</w:t>
            </w: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156,713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152,590</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467,328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461,759</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11,855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10,968</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8 %</w:t>
            </w:r>
          </w:p>
        </w:tc>
        <w:tc>
          <w:tcPr>
            <w:tcW w:w="30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34,357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34,048</w:t>
            </w:r>
          </w:p>
        </w:tc>
        <w:tc>
          <w:tcPr>
            <w:tcW w:w="12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(563)</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(448)%</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142,899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142,185</w:t>
            </w:r>
          </w:p>
        </w:tc>
        <w:tc>
          <w:tcPr>
            <w:tcW w:w="1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436,286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431,472</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34,770</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5 %</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96,206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107,064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2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106,447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107,415</w:t>
            </w:r>
          </w:p>
        </w:tc>
        <w:tc>
          <w:tcPr>
            <w:tcW w:w="128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340,080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324,408</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258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19.8%</w:t>
            </w:r>
          </w:p>
        </w:tc>
        <w:tc>
          <w:tcPr>
            <w:tcW w:w="1280" w:type="dxa"/>
            <w:vAlign w:val="bottom"/>
          </w:tcPr>
          <w:p>
            <w:pPr>
              <w:jc w:val="right"/>
              <w:ind w:right="251"/>
              <w:spacing w:after="0"/>
              <w:rPr>
                <w:sz w:val="20"/>
                <w:szCs w:val="20"/>
                <w:color w:val="auto"/>
              </w:rPr>
            </w:pPr>
            <w:r>
              <w:rPr>
                <w:rFonts w:ascii="Arial" w:cs="Arial" w:eastAsia="Arial" w:hAnsi="Arial"/>
                <w:sz w:val="18"/>
                <w:szCs w:val="18"/>
                <w:i w:val="1"/>
                <w:iCs w:val="1"/>
                <w:color w:val="auto"/>
              </w:rPr>
              <w:t>160</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20.1%</w:t>
            </w:r>
          </w:p>
        </w:tc>
        <w:tc>
          <w:tcPr>
            <w:tcW w:w="1200" w:type="dxa"/>
            <w:vAlign w:val="bottom"/>
          </w:tcPr>
          <w:p>
            <w:pPr>
              <w:jc w:val="right"/>
              <w:ind w:right="151"/>
              <w:spacing w:after="0"/>
              <w:rPr>
                <w:sz w:val="20"/>
                <w:szCs w:val="20"/>
                <w:color w:val="auto"/>
              </w:rPr>
            </w:pPr>
            <w:r>
              <w:rPr>
                <w:rFonts w:ascii="Arial" w:cs="Arial" w:eastAsia="Arial" w:hAnsi="Arial"/>
                <w:sz w:val="18"/>
                <w:szCs w:val="18"/>
                <w:i w:val="1"/>
                <w:iCs w:val="1"/>
                <w:color w:val="auto"/>
              </w:rPr>
              <w:t>80</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25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359,103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358,708</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0 %</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1,108,689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1,100,726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258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2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405,989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415,105</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1,198,851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1,231,725</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765,092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773,813</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2,307,540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2,332,451</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line="297"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operating margin excludes operational improvement initiative costs of $0.3 million and acquisition and related costs of $6.8 million for the three months ended September 30, 2015 and excludes $0.9 million of restructuring and operational improvement initiative costs for the three months ended September 30, 2014. For the nine months ended September 30, 2015, adjusted operating margin excludes the benefit from Restructuring and other charges, net of $0.2 million, operational improvement initiative costs of $0.8 million and acquisition related costs of $13.9 million compared to the exclusion of $6.9 million of Restructuring and other charges, net and operational improvement initiative costs during the comparable 2014 period.</w:t>
      </w:r>
    </w:p>
    <w:p>
      <w:pPr>
        <w:spacing w:after="0" w:line="10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746"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include expenses necessary to support our commercial activities and administrative expenses supporting our overall operating activities.</w:t>
      </w:r>
    </w:p>
    <w:p>
      <w:pPr>
        <w:spacing w:after="0" w:line="221" w:lineRule="exact"/>
        <w:rPr>
          <w:sz w:val="20"/>
          <w:szCs w:val="20"/>
          <w:color w:val="auto"/>
        </w:rPr>
      </w:pPr>
    </w:p>
    <w:p>
      <w:pPr>
        <w:ind w:right="5660"/>
        <w:spacing w:after="0" w:line="346" w:lineRule="auto"/>
        <w:rPr>
          <w:sz w:val="20"/>
          <w:szCs w:val="20"/>
          <w:color w:val="auto"/>
        </w:rPr>
      </w:pPr>
      <w:r>
        <w:rPr>
          <w:rFonts w:ascii="Arial" w:cs="Arial" w:eastAsia="Arial" w:hAnsi="Arial"/>
          <w:sz w:val="18"/>
          <w:szCs w:val="18"/>
          <w:b w:val="1"/>
          <w:bCs w:val="1"/>
          <w:u w:val="single" w:color="auto"/>
          <w:color w:val="auto"/>
        </w:rPr>
        <w:t xml:space="preserve">THIRD QUARTER 2015 IN COMPARISON TO THIRD QUARTER 2014 </w:t>
      </w:r>
      <w:r>
        <w:rPr>
          <w:rFonts w:ascii="Arial" w:cs="Arial" w:eastAsia="Arial" w:hAnsi="Arial"/>
          <w:sz w:val="18"/>
          <w:szCs w:val="18"/>
          <w:b w:val="1"/>
          <w:bCs w:val="1"/>
          <w:color w:val="auto"/>
        </w:rPr>
        <w:t>Sales</w:t>
      </w:r>
    </w:p>
    <w:p>
      <w:pPr>
        <w:spacing w:after="0" w:line="1"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Sales for the third quarter of 2015 totaled $765.1 million, a decrease of 1% from the prior year quarter. Excluding the impact of foreign currency, currency neutral sales increased 7%, as a result of new win performance in both Fragrance Compounds and Flavors, lower volume erosion on existing business and the effect of acquisitions. On both a reported and currency neutral basis, the effect of acquisitions was approximately 3% to net sales amounts. Overall organic currency neutral growth includes 4% from developed markets and 3% from emerging markets.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Flavors reported sales were essentially flat with the prior year period while currency neutral sales growth was 8% during the third quarter of 2015 compared to the 2014 period. Acquisitions accounted for approximately 4.5% of the growth in both reported and currency neutral basis amounts. In addition, the overall performance reflects lower volume erosion on existing business and new win performance. The currency neutral increase was due to mid to high single-digit growth in Beverage and Dairy. The Flavors business delivered currency neutral growth in NOAM, EAME and LA, led by LA. Sales in LA were driven by double-digit gains in Beverage and Savory. Sales in EAME were driven by high single-digit gains in Beverage. NOAM sales were led by double-digit gains in Dairy and mid single-digit gains in Beverage.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Fragrances business experienced a decline of 2% in reported sales and a 6% increase in currency neutral sales for the third quarter of 2015 compared to the third quarter of 2014. Acquisitions accounted for approximately one-third of the growth in both reported and currency neutral basis amounts. The overall currency neutral increase was primarily driven by double-digit gains in our Fabric Care category and mid to high single-digit gains in our Hair Care, Home Care and Personal Wash categories in addition to mid single-digit growth in Fragrance Ingredients, which included the acquisition of Lucas Meyer. Our Fragrance Compounds and Fragrance Ingredients, which includes Lucas Meyer, both saw currency neutral sales growth of 6% over the prior year period. Excluding the effects of acquisitions, Fragrance Ingredients sales declined mid single-digits on a currency neutral basis.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w w:val="97"/>
              </w:rPr>
              <w:t>% Change in Sales-Third Quarter 2015 vs. Third Quarter 2014</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8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Flavors</w:t>
            </w:r>
          </w:p>
        </w:tc>
        <w:tc>
          <w:tcPr>
            <w:tcW w:w="12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ind w:left="1000"/>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2015 period.</w:t>
      </w:r>
    </w:p>
    <w:p>
      <w:pPr>
        <w:spacing w:after="0" w:line="210" w:lineRule="exact"/>
        <w:rPr>
          <w:rFonts w:ascii="Arial" w:cs="Arial" w:eastAsia="Arial" w:hAnsi="Arial"/>
          <w:sz w:val="18"/>
          <w:szCs w:val="18"/>
          <w:color w:val="auto"/>
        </w:rPr>
      </w:pPr>
    </w:p>
    <w:p>
      <w:pPr>
        <w:ind w:left="660" w:right="140" w:hanging="328"/>
        <w:spacing w:after="0" w:line="288"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NOAM Flavors sales increased 19%, which included the impact of acquisitions, and high double-digit growth in Dairy. NOAM Fragrance sales increased 6% in the third quarter of 2015, principally due to double-digit gains in Home Care and Hair Care as well as high single-digit gains in Fabric Care and Personal Wash and low single-digit gains in Fine Fragrances and Fragrance Ingredients, which included the impact of acquisitions.</w:t>
      </w:r>
    </w:p>
    <w:p>
      <w:pPr>
        <w:ind w:left="660" w:right="520" w:hanging="328"/>
        <w:spacing w:after="0" w:line="261"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EAME Flavors currency neutral sales growth of 4% was led by high single-digit growth in Beverage. EAME Fragrance currency neutral sales increased 5% overall, driven mainly by double-digit growth in Fabric Care and mid</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2" w:name="page23"/>
    <w:bookmarkEnd w:id="22"/>
    <w:p>
      <w:pPr>
        <w:ind w:left="660" w:right="300"/>
        <w:spacing w:after="0" w:line="282" w:lineRule="auto"/>
        <w:rPr>
          <w:sz w:val="20"/>
          <w:szCs w:val="20"/>
          <w:color w:val="auto"/>
        </w:rPr>
      </w:pPr>
      <w:r>
        <w:rPr>
          <w:rFonts w:ascii="Arial" w:cs="Arial" w:eastAsia="Arial" w:hAnsi="Arial"/>
          <w:sz w:val="18"/>
          <w:szCs w:val="18"/>
          <w:color w:val="auto"/>
        </w:rPr>
        <w:t>single-digit growth in Fine Fragrance and Fragrance Ingredients, which included the impact of acquisitions, that more than offset low single-digit declines in Toiletries and Hair Care.</w:t>
      </w:r>
    </w:p>
    <w:p>
      <w:pPr>
        <w:spacing w:after="0" w:line="1" w:lineRule="exact"/>
        <w:rPr>
          <w:sz w:val="20"/>
          <w:szCs w:val="20"/>
          <w:color w:val="auto"/>
        </w:rPr>
      </w:pPr>
    </w:p>
    <w:p>
      <w:pPr>
        <w:ind w:left="660" w:right="360" w:hanging="328"/>
        <w:spacing w:after="0" w:line="28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 Flavors currency neutral sales were up 20% driven by double-digit gains in the Savory and Beverage categories as well as high single-digit growth in Sweet. LA Fragrances currency neutral sales increased 7% overall, principally led by double-digit gains in Hair Care, Fabric Care and Toiletries, as well as high single-digit gains in Fragrance Ingredients, which more than offset high single-digit declines in Fine Fragrances.</w:t>
      </w:r>
    </w:p>
    <w:p>
      <w:pPr>
        <w:spacing w:after="0" w:line="1" w:lineRule="exact"/>
        <w:rPr>
          <w:rFonts w:ascii="Arial" w:cs="Arial" w:eastAsia="Arial" w:hAnsi="Arial"/>
          <w:sz w:val="16"/>
          <w:szCs w:val="16"/>
          <w:color w:val="auto"/>
        </w:rPr>
      </w:pPr>
    </w:p>
    <w:p>
      <w:pPr>
        <w:ind w:left="660" w:right="600" w:hanging="328"/>
        <w:spacing w:after="0" w:line="277"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GA Flavors currency neutral sales remained consistent with the prior year period. GA Fragrances currency neutral sales growth of 4% was principally driven by double-digit gains in Fabric Care and high single-digit gains in Personal Wash, with mid single-digit gains in Fragrance Ingredients, which included the impact of acquisitions, that more than offset double-digit declines in Fine Fragrances.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Cost of goods sold, as a percentage of sales, decreased 140 bps to 54.6% in the third quarter of 2015 compared to 56.0% in the third quarter of 2014. Included in cost of goods sold was $2.8 million of charges related principally to acquisition-related inventory "step-up" costs as well as operational improvement initiative costs in 2015 compared to $0.3 million of restructuring and operational improvement initiative related costs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Overall R&amp;D expenses, as a percentage of sales, was essentially flat compared to the prior year period at 8.2% in the third quarter of 2015 versus 8.2% in the third quarter of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S&amp;A expenses increased $4.5 million to $127.7 million or 16.7%, as a percentage of sales, in the third quarter of 2015 compared to 15.9% in the third quarter of 2014. The $4.5 million increase is principally due to spending to support the future growth of the Company, including acquisition related expenses, partially offset by the impact of currency and lower incentive compensation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79,803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79,747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90,893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86,615</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(12,882)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3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156,713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152,590</w:t>
            </w:r>
          </w:p>
        </w:tc>
      </w:tr>
      <w:tr>
        <w:trPr>
          <w:trHeight w:val="67"/>
        </w:trPr>
        <w:tc>
          <w:tcPr>
            <w:tcW w:w="7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Flavors segment profit remained consistent at $79.8 million in the third quarter of 2015, or 22.2% as a percentage of sales, with $79.7 million, or 22.2% as a percentage of sales, in the comparable 2014 period. Solid growth and the addition of Ottens Flavors along with productivity initiatives and sales mix were offset by unfavorable currency impacts and incremental operating costs associated with the China Flavors facility.</w:t>
      </w: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3" w:name="page24"/>
    <w:bookmarkEnd w:id="23"/>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Fragrances segment profit increased approximately 5% to $90.9 million in the third quarter of 2015, or 22.4% as a percentage of sales,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$86.6 million, or 20.9% as a percentage of sales, in the comparable 2014 period. The increase in segment profit and profit margin was primarily due to strong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growth in Consumer Fragrances, ongoing cost savings initiatives, lower incentive compensation expense and a slight impact from the addition of Lucas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Meyer.</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third quarter of 2015, Global expenses were $6.9 million compared to $12.9 million during the third quarter of 2014. The decrease was principally driven by the favorable impact of our cash flow hedging program and lower incentive compensation expense.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Interest expense increased $0.9 million to $11.9 million in the third quarter of 2015 compared to $11.0 million in the 2014 period. Average cost of debt was 4.3% for the 2015 three month period compared to 4.7% for the 2014 three 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jc w:val="both"/>
        <w:ind w:right="360" w:firstLine="432"/>
        <w:spacing w:after="0" w:line="286" w:lineRule="auto"/>
        <w:rPr>
          <w:sz w:val="20"/>
          <w:szCs w:val="20"/>
          <w:color w:val="auto"/>
        </w:rPr>
      </w:pPr>
      <w:r>
        <w:rPr>
          <w:rFonts w:ascii="Arial" w:cs="Arial" w:eastAsia="Arial" w:hAnsi="Arial"/>
          <w:sz w:val="17"/>
          <w:szCs w:val="17"/>
          <w:color w:val="auto"/>
        </w:rPr>
        <w:t>Other expense (income), net decreased by approximately $2.6 million to $2.0 million of expense in the third quarter of 2015 versus $0.6 million of income in the comparable 2014 period. The year-over-year decrease was primarily driven by lower foreign exchange gains and lower amounts of income related to lower mark-to-market adjustments on deferred compensation plan assets during 2015 compared to the 2014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effective tax rate for the three months ended September 30, 2015 was 25.5% compared with 24.5% for the three months ended September 30, 2014. Excluding the impact of items affecting comparability in the current quarter, the third quarter 2015 adjusted effective tax rate was 24.9%, or 40 bps higher than the third quarter 2014 adjusted effective tax rate of 24.5%, largely due to mix of earnings partially offset by lower loss provisions and lower expected repatriation costs in 2015.</w:t>
      </w:r>
    </w:p>
    <w:p>
      <w:pPr>
        <w:spacing w:after="0" w:line="264" w:lineRule="exact"/>
        <w:rPr>
          <w:sz w:val="20"/>
          <w:szCs w:val="20"/>
          <w:color w:val="auto"/>
        </w:rPr>
      </w:pPr>
    </w:p>
    <w:p>
      <w:pPr>
        <w:ind w:right="4380"/>
        <w:spacing w:after="0" w:line="346" w:lineRule="auto"/>
        <w:rPr>
          <w:sz w:val="20"/>
          <w:szCs w:val="20"/>
          <w:color w:val="auto"/>
        </w:rPr>
      </w:pPr>
      <w:r>
        <w:rPr>
          <w:rFonts w:ascii="Arial" w:cs="Arial" w:eastAsia="Arial" w:hAnsi="Arial"/>
          <w:sz w:val="18"/>
          <w:szCs w:val="18"/>
          <w:b w:val="1"/>
          <w:bCs w:val="1"/>
          <w:u w:val="single" w:color="auto"/>
          <w:color w:val="auto"/>
        </w:rPr>
        <w:t xml:space="preserve">FIRST NINE MONTHS OF 2015 IN COMPARISON TO FIRST NINE MONTHS OF 2014 </w:t>
      </w:r>
      <w:r>
        <w:rPr>
          <w:rFonts w:ascii="Arial" w:cs="Arial" w:eastAsia="Arial" w:hAnsi="Arial"/>
          <w:sz w:val="18"/>
          <w:szCs w:val="18"/>
          <w:b w:val="1"/>
          <w:bCs w:val="1"/>
          <w:color w:val="auto"/>
        </w:rPr>
        <w:t>Sales</w:t>
      </w:r>
    </w:p>
    <w:p>
      <w:pPr>
        <w:spacing w:after="0" w:line="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Sales for the first nine months of 2015 totaled $2.3 billion, a decrease of 1% from the prior year period. Excluding the impact of foreign currency, currency neutral sales increased 6%. Acquisitions accounted for approximately one-third and one-sixth of the growth in reported and currency neutral net sales amounts, respectively. The overall increase on a currency neutral basis of 6% was primarily due to new win performance in both Flavors and Fragrance Compounds and lower volume erosion on existing business. Overall currency neutral growth was driven by 6% growth in emerging markets.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Flavors reported sales growth was 1%, and currency neutral sales growth was 8% during the first nine months of 2015 compared to the 2014 period. Acquisitions accounted for less than half of the net sales growth on a currency neutral basis. The overall currency neutral increase of 8% primarily reflects new wins and volume growth. The increase was due to high single-digit growth in Beverage and Dairy as well as low single-digit growth in Savory. The Flavors business delivered currency neutral growth in all regions, led by LA. Sales in LA were driven by double-digit gains in Beverage and Savory categories. Sales in EAME were led by mid to high single-digit growth in Savory and Beverage. GA sales were led by mid single-digit gains in Savory and Beverage and sales in NOAM were led by double-digit gains in Dairy and mid single-digit gains in Sweet.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Fragrances business experienced a decline of 3% in reported sales but a 5% increase in currency neutral sales for the first nine months of 2015 compared to the 2014 period. Acquisitions accounted for approximately one-fifth of the growth in net sales on a currency neutral basis. The overall increase on a currency neutral basis was primarily driven by double-digit gains in our Fabric Care and Home Care categories and high single-digit gains in Hair Care, which more than offset low single-digit declines in Toiletries. Our Fragrance Compounds saw currency neutral sales growth of 6%, while Fragrance Ingredients, which included the impact of acquisitions, remained consistent with the prior year period. Excluding the effects of acquisitions, Fragrance Ingredients sales declined low to mid single-digits on a currency neutral basis.</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27" w:right="25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rPr>
              <w:t>% Change in Sales-First Nine Months 2015 vs. First Nine Months 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94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2"/>
              </w:rPr>
              <w:t>Flavors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10 %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7"/>
              </w:rPr>
              <w:t>18 %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2015 period.</w:t>
      </w:r>
    </w:p>
    <w:p>
      <w:pPr>
        <w:spacing w:after="0" w:line="210" w:lineRule="exact"/>
        <w:rPr>
          <w:rFonts w:ascii="Arial" w:cs="Arial" w:eastAsia="Arial" w:hAnsi="Arial"/>
          <w:sz w:val="18"/>
          <w:szCs w:val="18"/>
          <w:color w:val="auto"/>
        </w:rPr>
      </w:pPr>
    </w:p>
    <w:p>
      <w:pPr>
        <w:ind w:left="660" w:right="20" w:hanging="328"/>
        <w:spacing w:after="0" w:line="25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NOAM Flavors sales increased 11%, which included the impact of acquisitions, and had double-digit gains in Dairy and low to mid single-digit gains in Beverage and Sweet. NOAM Fragrance sales decreased 2% in the first nine months of 2015, principally due to double-digit declines in Fragrance Ingredients and Toiletries and mid single-digit declines in Fine Fragrances, that were only partially offset by double-digit growth in Fabric Care and high single-digit growth in Home Care categories.</w:t>
      </w:r>
    </w:p>
    <w:p>
      <w:pPr>
        <w:spacing w:after="0" w:line="2" w:lineRule="exact"/>
        <w:rPr>
          <w:rFonts w:ascii="Arial" w:cs="Arial" w:eastAsia="Arial" w:hAnsi="Arial"/>
          <w:sz w:val="18"/>
          <w:szCs w:val="18"/>
          <w:color w:val="auto"/>
        </w:rPr>
      </w:pPr>
    </w:p>
    <w:p>
      <w:pPr>
        <w:ind w:left="660" w:right="120" w:hanging="328"/>
        <w:spacing w:after="0" w:line="281"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EAME Flavors currency neutral sales growth of 6% was led by high single-digit growth in Beverage and mid single-digit growth in Savory. EAME Fragrance currency neutral sales increased 7% overall, driven mainly by double-digit growth in Fabric Care and Home Care categories as well as mid single-digit gains in Fine Fragrance and low single-digit gains in Fragrance Ingredients, which included the impact of acquisitions.</w:t>
      </w:r>
    </w:p>
    <w:p>
      <w:pPr>
        <w:spacing w:after="0" w:line="2" w:lineRule="exact"/>
        <w:rPr>
          <w:rFonts w:ascii="Arial" w:cs="Arial" w:eastAsia="Arial" w:hAnsi="Arial"/>
          <w:sz w:val="16"/>
          <w:szCs w:val="16"/>
          <w:color w:val="auto"/>
        </w:rPr>
      </w:pPr>
    </w:p>
    <w:p>
      <w:pPr>
        <w:ind w:left="660" w:right="6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 Flavors currency neutral sales were up 18% driven by double-digit gains in the Beverage and Savory and high single-digit growth in Sweet. LA Fragrances currency neutral sales increased 8% overall, principally led by double-digit gains in Fabric Care, Home Care and Hair Care as well as low single-digit gains in Fragrance Ingredients, which more than offset high single-digit declines in Fine Fragrances and mid single-digit declines in Toiletries.</w:t>
      </w:r>
    </w:p>
    <w:p>
      <w:pPr>
        <w:spacing w:after="0" w:line="1" w:lineRule="exact"/>
        <w:rPr>
          <w:rFonts w:ascii="Arial" w:cs="Arial" w:eastAsia="Arial" w:hAnsi="Arial"/>
          <w:sz w:val="18"/>
          <w:szCs w:val="18"/>
          <w:color w:val="auto"/>
        </w:rPr>
      </w:pPr>
    </w:p>
    <w:p>
      <w:pPr>
        <w:ind w:left="660" w:right="360" w:hanging="328"/>
        <w:spacing w:after="0" w:line="30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GA Flavors had currency neutral sales growth of 3% principally from low to mid single-digit gains in Beverage and Savory. GA Fragrances had currency neutral sales growth of 3%, principally driven by high single-digit growth in Fragrance Ingredients, which included the impact of acquisitions, as well as mid single-digit growth in Toiletries and Fine Fragrances and low single-digit growth in Fabric Care and Hair Care.</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Cost of goods sold, as a percentage of sales, decreased 70 bps to 55.0% in the first nine months of 2015 compared to 55.7% in the 2014 period. Included in cost of goods sold was $4.1 million of charges related to operational improvement initiative costs and acquisition-related inventory "step-up" costs in 2015 compared to $6.0 million of restructuring and operational improvement initiative costs in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Overall R&amp;D expenses, as a percentage of sales, remained essentially flat with the prior year period at 8.2% for the first nine months of 2015 compared to 8.2% in the 2014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S&amp;A expenses increased slightly to $382.6 million or 16.6%, as a percentage of sales, in the first nine months of 2015 compared to 16.3% in the 2014 period. The increase in S&amp;A expenses was due to acquisition-related expenses which were partially offset by lower incentive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2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 2015</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256,546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258,614</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252,416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259,253</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(49,182)</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(13,896)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(6,014)</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467,328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461,759</w:t>
            </w:r>
          </w:p>
        </w:tc>
      </w:tr>
      <w:tr>
        <w:trPr>
          <w:trHeight w:val="67"/>
        </w:trPr>
        <w:tc>
          <w:tcPr>
            <w:tcW w:w="79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Flavors segment profit decreased approximately 1% to $256.5 million in the first nine months of 2015, or 23.1% as a percentage of sales, compared to $258.6 million, or 23.5% as a percentage of sales, in the comparable 2014 period. The decrease in segment profit and profit margin was driven primarily by unfavorable foreign currency impacts, lower incentive compensation in the prior year, scale up costs of new sites in Turkey and Indonesia and other one-off costs, including incremental operating costs associated with the China Flavors facility. These costs were only partially offset by net wins, productivity initiatives and sales mix. The acquisition of Ottens Flavors did not significantly impact Flavors segment profit for the 2015 period.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Fragrances segment profit declined approximately 3% to $252.4 million in the first nine months of 2015, or 21.1% as a percentage of sales, compared to $259.3 million, or 21.0% as a percentage of sales, in the comparable 2014 period. The decline in segment profit was primarily due to unfavorable foreign currency impacts, which were partially offset by favorable volume growth. The acquisition of Lucas Meyer did not significantly impact Fragrances segment profit for the 2015 period.</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nine months of 2015, Global expenses were $27.1 million compared to $49.2 million during the 2014 period. The decrease was principally driven by the favorable impact of our cash flow hedging program and lower incentive compensation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In 2014, the Company closed its fragrance ingredients manufacturing facility in Augusta, Georgia and consolidated production into other Company facilities. During the nine months ended September 30, 2015, the Company recorded a net credit of $0.2 million consisting of additional plant shutdown and other related costs of $0.2 million, net of a reversal of severance accruals of $0.4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Interest expense increased $0.4 million to $34.4 million in the first nine months of 2015 compared to the 2014 period. Average cost of debt was 4.6% for the 2015 nine month period compared to 4.9% for the 2014 nine month period.</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Other expense (income), net decreased by approximately $0.5 million to $3.3 million of income in the first nine months of 2015 versus $3.8 million of income in the comparable 2014 period. The year-over-year decrease is primarily driven by lower foreign exchange gains and lower amounts of income related to lower mark-to-market adjustments on deferred compensation plan assets during 2015 compared to the 2014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effective tax rate for the nine months ended September 30, 2015 was 22.1% compared with 24.8% for the nine months ended September 30, 2014, primarily due to a benefit of $10.5 million recorded in the first quarter of 2015 as a result of favorable tax rulings in Spain and another jurisdiction for which reserves were previously recorded. Excluding the impact of items affecting comparability in the current period, the 2015 period adjusted effective tax rate was 24.1%, or 90 basis points lower than the 2014 period adjusted effective tax rate of 25.0%. The year-over-year decrease is largely due to lower loss provisions and lower expected repatriation costs in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had cash and cash equivalents of $272.3 million at September 30, 2015 compared to $478.6 million at December 31, 2014, of which $204.9 million of the balance at September 30, 2015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accumulated earnings of our foreign subsidiaries because we have the ability and plan to reinvest the undistributed earnings indefinitely.</w:t>
      </w:r>
    </w:p>
    <w:p>
      <w:pPr>
        <w:spacing w:after="0" w:line="13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cash provided by operating activities in the first nine months of 2015 were $294.7 million compared to $317.5 million in the first nine months of 2014. The decrease in operating cash flows for the first nine months of 2015 compared to 2014 is principally driven by higher cash outflows from core working capital and higher pension contributions in the 2015 period, which were only partially offset by higher net income and lower payments for incentive compensation.</w:t>
      </w:r>
    </w:p>
    <w:p>
      <w:pPr>
        <w:spacing w:after="0" w:line="13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Working capital (current assets less current liabilities) totaled $951.4 million at September 30, 2015, compared to $1,191.2 million at December 31, 2014.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from operations from participating in these programs increased approximately $0.2 million for the nine months ended September 30, 2015 compared to an increase of approximately $19.4 million for the nine months ended September 30, 2014. The cost of participating in these programs was immaterial to our results in all periods.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investing activities during the first nine months of 2015 used $546.1 million compared to $180.5 million in the prior year period. The increase in cash paid for investing activities is primarily driven by the acquisitions of Ottens Flavors and Lucas Meyer during 2015. The Company acquired 100% of the outstanding shares of Ottens Flavors and Lucas Meyer for approximately $188.5 million (net of cash acquired) and $305.0 million (net of cash acquired), respectively.</w:t>
      </w:r>
    </w:p>
    <w:p>
      <w:pPr>
        <w:spacing w:after="0" w:line="5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Additions to property, plant and equipment were $66.6 million during the first nine months of 2015 compared to $97.8 million in the first nine months of 2014. We expect additions to property, plant and equipment to approach 4-5% of our sales in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Net financing activities in the first nine months of 2015 provided $66.9 million of cash inflows compared to a use of $128.1 million in the first nine months of 2014. The increase in cash provided by financing activities principally reflects the net</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23" w:right="239" w:bottom="1440" w:gutter="0" w:footer="0" w:header="0"/>
        </w:sectPr>
      </w:pPr>
    </w:p>
    <w:bookmarkStart w:id="27" w:name="page28"/>
    <w:bookmarkEnd w:id="27"/>
    <w:p>
      <w:pPr>
        <w:ind w:right="660"/>
        <w:spacing w:after="0" w:line="277" w:lineRule="auto"/>
        <w:rPr>
          <w:sz w:val="20"/>
          <w:szCs w:val="20"/>
          <w:color w:val="auto"/>
        </w:rPr>
      </w:pPr>
      <w:r>
        <w:rPr>
          <w:rFonts w:ascii="Arial" w:cs="Arial" w:eastAsia="Arial" w:hAnsi="Arial"/>
          <w:sz w:val="18"/>
          <w:szCs w:val="18"/>
          <w:color w:val="auto"/>
        </w:rPr>
        <w:t>drawdown on the credit facility of $250 million during 2015 as compared to the 2014 period, which was only partially offset by higher treasury stock purchases and higher dividend payments during 2015 as compared to 2014.</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2015, we had $1,191.0 million of debt outstanding compared to $942.3 million outstanding at December 31, 2014.</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paid dividends totaling $113.9 million in the 2015 period. We declared a cash dividend per share of $0.56 in the third quarter of 2015 that was paid on October 6, 2015 to all shareholders of record as of September 25, 2015.</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$277.7 million available under the amended repurchase program, approximately 2.6 million shares, or 3.2% of shares outstanding (based on the market price and shares outstanding as of September 30, 2015) could be repurchased under the program as of September 30, 2015. The purchases will be made from time to time on the open market or through private transactions as market and business conditions warrant. Repurchased shares will be placed into treasury stock. During the three months ended September 30, 2015, we repurchased 380,828 shares on the open market at an aggregate cost of $42.4 million or an average of $111.40 per share. During the nine months ended September 30, 2015, we repurchased 726,115 shares on the open market at an aggregate cost of $81.2 million or an average of $111.88 per share. We expect total purchases during 2015 to be in line with or moderately higher than total purchases made during 2014. The ultimate level of purchases will be a function of the daily purchase limits established in the pre-approved program according to the share price at that time.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nine months of 2015 or 2014.</w:t>
      </w:r>
    </w:p>
    <w:p>
      <w:pPr>
        <w:spacing w:after="0" w:line="116"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We expect to contribute a total of approximately $30 million to our non-U.S. pension plans during 2015. During the nine months ended September 30, 2015, $35.0 million of contributions were made to our qualified U.S. pension plans. For the nine months ended September 30, 2015, we have contributed $26.1 million related to our non-U.S. pension plans and $3.2 million related to our non-qualified U.S. pension plans.</w:t>
      </w:r>
    </w:p>
    <w:p>
      <w:pPr>
        <w:spacing w:after="0" w:line="1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third quarter of 2015, we acquired Lucas Meyer for approximately $305.0 million (net of cash acquired), which was funded from existing resources.</w:t>
      </w:r>
    </w:p>
    <w:p>
      <w:pPr>
        <w:spacing w:after="0" w:line="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second quarter of 2015, we acquired Ottens Flavors for approximately $188.5 million (net of cash acquired), which was funded from existing resources.</w:t>
      </w:r>
    </w:p>
    <w:p>
      <w:pPr>
        <w:spacing w:after="0" w:line="19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September 30, 2015 our covenant compliance provided overall borrowing capacity of $1,380 million.</w:t>
      </w:r>
    </w:p>
    <w:p>
      <w:pPr>
        <w:spacing w:after="0" w:line="127"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As of September 30, 2015 we had $248 million of borrowings under our revolving credit facility. The amount which we are able to draw down on under the facility is limited by financial covenants as described in more detail below. Our draw down capacity on the facility was $692.8 million at September 30, 2015.</w:t>
      </w:r>
    </w:p>
    <w:p>
      <w:pPr>
        <w:spacing w:after="0" w:line="127" w:lineRule="exact"/>
        <w:rPr>
          <w:sz w:val="20"/>
          <w:szCs w:val="20"/>
          <w:color w:val="auto"/>
        </w:rPr>
      </w:pPr>
    </w:p>
    <w:p>
      <w:pPr>
        <w:ind w:right="60" w:firstLine="432"/>
        <w:spacing w:after="0" w:line="254" w:lineRule="auto"/>
        <w:rPr>
          <w:sz w:val="20"/>
          <w:szCs w:val="20"/>
          <w:color w:val="auto"/>
        </w:rPr>
      </w:pPr>
      <w:r>
        <w:rPr>
          <w:rFonts w:ascii="Arial" w:cs="Arial" w:eastAsia="Arial" w:hAnsi="Arial"/>
          <w:sz w:val="17"/>
          <w:szCs w:val="17"/>
          <w:color w:val="auto"/>
        </w:rPr>
        <w:t xml:space="preserve">At September 30, 2015, we were in compliance with all financial and other covenants, including the net debt to adjusted EBITDA ratio. At September 30, 2015 our Net Debt/adjusted EBITDA </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ratio, as defined by the debt agreements, was 1.3 to 1,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65" w:right="239" w:bottom="1440" w:gutter="0" w:footer="0" w:header="0"/>
        </w:sectPr>
      </w:pPr>
    </w:p>
    <w:bookmarkStart w:id="28" w:name="page29"/>
    <w:bookmarkEnd w:id="28"/>
    <w:p>
      <w:pPr>
        <w:ind w:left="540" w:right="60" w:hanging="316"/>
        <w:spacing w:after="0" w:line="259"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i w:val="1"/>
                <w:iCs w:val="1"/>
                <w:color w:val="auto"/>
              </w:rPr>
              <w:t>Twelve Months Ended September 30,</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385.9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i w:val="1"/>
                <w:iCs w:val="1"/>
                <w:color w:val="auto"/>
              </w:rPr>
              <w:t>46.4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45.2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128.7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i w:val="1"/>
                <w:iCs w:val="1"/>
                <w:color w:val="auto"/>
              </w:rPr>
              <w:t>86.0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90.7</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0.2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1.0</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19.7</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23.4</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706.1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674.9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September 30, 2015 of $0.2 million consist of restructuring charges.</w:t>
      </w:r>
    </w:p>
    <w:p>
      <w:pPr>
        <w:spacing w:after="0" w:line="23" w:lineRule="exact"/>
        <w:rPr>
          <w:rFonts w:ascii="Arial" w:cs="Arial" w:eastAsia="Arial" w:hAnsi="Arial"/>
          <w:sz w:val="18"/>
          <w:szCs w:val="18"/>
          <w:i w:val="1"/>
          <w:iCs w:val="1"/>
          <w:color w:val="auto"/>
        </w:rPr>
      </w:pPr>
    </w:p>
    <w:p>
      <w:pPr>
        <w:ind w:left="340" w:right="100" w:hanging="332"/>
        <w:spacing w:after="0" w:line="261"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stock-based compensation and pension settlement/curtailment.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September 30,</w:t>
            </w:r>
          </w:p>
        </w:tc>
        <w:tc>
          <w:tcPr>
            <w:tcW w:w="108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2015</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1,191.0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i w:val="1"/>
                <w:iCs w:val="1"/>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943.2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(272.3)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(404.8)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915.0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i w:val="1"/>
                <w:iCs w:val="1"/>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532.7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discussed in Note 13 to the Consolidated Financial Statements, at September 30, 2015,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Odor Matter</w:t>
      </w:r>
    </w:p>
    <w:p>
      <w:pPr>
        <w:spacing w:after="0" w:line="9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 has been notified by Chinese authorities of compliance issues pertaining to the emission of odors from several of its plants in China. The Company has been addressing these issues by making investments in additional odor-abatement equipment.</w:t>
      </w:r>
    </w:p>
    <w:p>
      <w:pPr>
        <w:spacing w:after="0" w:line="35"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The Company’s Flavors facility in China was temporarily idled and another facility is currently operating at a reduced workload. The Company has been making and will continue to make additional odor-abatement investments across all of its China facilities while it continues to work with the various authorities in China. To meet production requirements, the Company has moved a portion of its Chinese Flavors production to other IFF and third party facilities. 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This Quarterly Report includes “forward-looking statements” under the Federal Private Securities Litigation Reform Act of 1995, including statements regarding our expectations concerning (i) our Vision 2020 strategy and its impact on our ability to meet long-term financial growth targets in 2015 and in 2016 to 2020, (ii) our long-term financial targets, (iii) our competitive position in the market and financial performance in 2015, (iv) expected cost pressures in 2015, (v) capital spending in 2015, (vi) cash flows to fund future operations and to meet debt service requirements, (vii) expected share repurchases and expected payout ratio in 2015 and (viii) our plans and intentions to indefinitely reinvest undistributed foreign earnings in our foreign</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9" w:name="page30"/>
    <w:bookmarkEnd w:id="29"/>
    <w:p>
      <w:pPr>
        <w:spacing w:after="0" w:line="272" w:lineRule="auto"/>
        <w:rPr>
          <w:sz w:val="20"/>
          <w:szCs w:val="20"/>
          <w:color w:val="auto"/>
        </w:rPr>
      </w:pPr>
      <w:r>
        <w:rPr>
          <w:rFonts w:ascii="Arial" w:cs="Arial" w:eastAsia="Arial" w:hAnsi="Arial"/>
          <w:sz w:val="17"/>
          <w:szCs w:val="17"/>
          <w:color w:val="auto"/>
        </w:rPr>
        <w:t>subsidiaries to fund local operations and/or capital projects.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259"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23" w:lineRule="exact"/>
        <w:rPr>
          <w:rFonts w:ascii="Arial" w:cs="Arial" w:eastAsia="Arial" w:hAnsi="Arial"/>
          <w:sz w:val="18"/>
          <w:szCs w:val="18"/>
          <w:color w:val="auto"/>
        </w:rPr>
      </w:pPr>
    </w:p>
    <w:p>
      <w:pPr>
        <w:ind w:left="540" w:right="24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regulatory and political risks associated with our international operations including currency transfer restrictions imposed by foreign governments and regulations and interpretations regarding government support;</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reinvest undistributed foreign earnings in our foreign subsidiaries to fund local operations and/or capital projects;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execute acquisitions, collaborations and joint ventures;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manage unanticipated costs and other adverse financial impact in connection with our acquisitions, collaborations and joint ventures;</w:t>
      </w:r>
    </w:p>
    <w:p>
      <w:pPr>
        <w:spacing w:after="0" w:line="32" w:lineRule="exact"/>
        <w:rPr>
          <w:rFonts w:ascii="Arial" w:cs="Arial" w:eastAsia="Arial" w:hAnsi="Arial"/>
          <w:sz w:val="16"/>
          <w:szCs w:val="16"/>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decline in consumer confidence and spending;</w:t>
      </w:r>
    </w:p>
    <w:p>
      <w:pPr>
        <w:spacing w:after="0" w:line="9" w:lineRule="exact"/>
        <w:rPr>
          <w:rFonts w:ascii="Arial" w:cs="Arial" w:eastAsia="Arial" w:hAnsi="Arial"/>
          <w:sz w:val="18"/>
          <w:szCs w:val="18"/>
          <w:color w:val="auto"/>
        </w:rPr>
      </w:pPr>
    </w:p>
    <w:p>
      <w:pPr>
        <w:ind w:left="540" w:right="20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the achievement of anticipated cost savings, profitability, realization of price increases and growth targets;</w:t>
      </w:r>
    </w:p>
    <w:p>
      <w:pPr>
        <w:ind w:left="540" w:right="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our Vision 2020 strategy, including building differentiation and accelerating profitable growth to achieve long-term financial targets in 2015 and in 2016 to 2020;</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new and competitive products that appeal to our customers and consumers;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manage inventory and working capital;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any unanticipated costs and construction or start-up delays in the expansion of any of our facilities;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our principal foreign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9" w:lineRule="exact"/>
        <w:rPr>
          <w:rFonts w:ascii="Arial" w:cs="Arial" w:eastAsia="Arial" w:hAnsi="Arial"/>
          <w:sz w:val="18"/>
          <w:szCs w:val="18"/>
          <w:color w:val="auto"/>
        </w:rPr>
      </w:pPr>
    </w:p>
    <w:p>
      <w:pPr>
        <w:ind w:left="540" w:right="3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540" w:right="2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possible pension funding obligations and increased pension expense, particularly as a result of changes in asset returns or discount rates, on our cash flow and results of operations;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optimize our manufacturing facilities, including the achievement of expected cost savings and increased efficiencies;</w:t>
      </w:r>
    </w:p>
    <w:p>
      <w:pPr>
        <w:spacing w:after="0" w:line="9" w:lineRule="exact"/>
        <w:rPr>
          <w:rFonts w:ascii="Arial" w:cs="Arial" w:eastAsia="Arial" w:hAnsi="Arial"/>
          <w:sz w:val="18"/>
          <w:szCs w:val="18"/>
          <w:color w:val="auto"/>
        </w:rPr>
      </w:pPr>
    </w:p>
    <w:p>
      <w:pPr>
        <w:ind w:left="540" w:right="6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us, our operations or our representatives by U.S. and foreign governments;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federal, state, local and foreign tax legislation or adverse results of tax audits, assessments, or disputes;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540" w:right="400" w:hanging="316"/>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 and indirect costs and other financial impact that may result from any business disruptions due to political instability, armed hostilities, incidents of terrorism, natural disasters, or the responses to or repercussion from any of these or similar events or conditions;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quickly and effectively implement our disaster recovery and crisis management plans;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due to accounting rules or regulations.</w:t>
      </w:r>
    </w:p>
    <w:p>
      <w:pPr>
        <w:spacing w:after="0" w:line="1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665" w:right="279" w:bottom="1440" w:gutter="0" w:footer="0" w:header="0"/>
        </w:sectPr>
      </w:pPr>
    </w:p>
    <w:bookmarkStart w:id="30" w:name="page31"/>
    <w:bookmarkEnd w:id="30"/>
    <w:p>
      <w:pPr>
        <w:ind w:right="260"/>
        <w:spacing w:after="0" w:line="277" w:lineRule="auto"/>
        <w:rPr>
          <w:sz w:val="20"/>
          <w:szCs w:val="20"/>
          <w:color w:val="auto"/>
        </w:rPr>
      </w:pPr>
      <w:r>
        <w:rPr>
          <w:rFonts w:ascii="Arial" w:cs="Arial" w:eastAsia="Arial" w:hAnsi="Arial"/>
          <w:sz w:val="18"/>
          <w:szCs w:val="18"/>
          <w:color w:val="auto"/>
        </w:rPr>
        <w:t>Company. Please refer to Part I. Item 1A., Risk Factors, of the 2014 Form 10-K for additional information regarding factors that could affect our results of operations, financial condition and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uses non-GAAP financial operating measures in this Quarterly Report, including: (i) currency neutral sales (which eliminates the effects that result from translating its international sales in U.S. dollars), (ii) adjusted operating profit and adjusted operating margin (which excludes the acquisition related costs, operational improvement initiative costs, restructuring charges and tax settlements), and (iii) adjusted effective tax rate (which excludes acquisition related costs, operational improvement initiative costs, restructuring charges and tax settlements).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We compensate for such limitations by using these measures as one of several metrics, including GAAP measures. These non-GAAP measures may not be comparable to similarly titled measures used by other companies.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A. Foreign Currency Reconciliation</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60"/>
        </w:trPr>
        <w:tc>
          <w:tcPr>
            <w:tcW w:w="69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9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 2015</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 2015</w:t>
            </w:r>
          </w:p>
        </w:tc>
      </w:tr>
      <w:tr>
        <w:trPr>
          <w:trHeight w:val="27"/>
        </w:trPr>
        <w:tc>
          <w:tcPr>
            <w:tcW w:w="696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Operating Profit</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Operating Profit</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r>
      <w:tr>
        <w:trPr>
          <w:trHeight w:val="306"/>
        </w:trPr>
        <w:tc>
          <w:tcPr>
            <w:tcW w:w="6960" w:type="dxa"/>
            <w:vAlign w:val="bottom"/>
          </w:tcPr>
          <w:p>
            <w:pPr>
              <w:ind w:left="40"/>
              <w:spacing w:after="0"/>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34"/>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color w:val="auto"/>
              </w:rPr>
              <w:t>Currency Impact</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6%</w:t>
            </w:r>
          </w:p>
        </w:tc>
      </w:tr>
      <w:tr>
        <w:trPr>
          <w:trHeight w:val="270"/>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 Adjusted (Non-GAAP)**</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ind w:left="60" w:right="360" w:firstLine="2"/>
        <w:spacing w:after="0" w:line="281" w:lineRule="auto"/>
        <w:tabs>
          <w:tab w:leader="none" w:pos="315"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Includes items impacting comparability of $7.1 million and $14.6 million for the three and nine months ended September 30, 2015, respectively, and includes $0.9 million and $6.9 million of items impacting comparability for the three and nine months ended September 30, 2014, respectively.</w:t>
      </w:r>
    </w:p>
    <w:p>
      <w:pPr>
        <w:spacing w:after="0" w:line="1"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 Currency neutral amount is calculated by translating prior year amounts at the exchange rates used for the corresponding 2015 period.</w:t>
      </w:r>
    </w:p>
    <w:p>
      <w:pPr>
        <w:spacing w:after="0" w:line="206" w:lineRule="exact"/>
        <w:rPr>
          <w:rFonts w:ascii="Arial" w:cs="Arial" w:eastAsia="Arial" w:hAnsi="Arial"/>
          <w:sz w:val="16"/>
          <w:szCs w:val="16"/>
          <w:color w:val="auto"/>
        </w:rPr>
      </w:pPr>
    </w:p>
    <w:p>
      <w:pPr>
        <w:ind w:left="220" w:hanging="212"/>
        <w:spacing w:after="0"/>
        <w:tabs>
          <w:tab w:leader="none" w:pos="2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25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4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Three Months Ended September 30, 2015</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Ottens Flavors</w:t>
            </w: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$1.8</w:t>
            </w:r>
          </w:p>
        </w:tc>
        <w:tc>
          <w:tcPr>
            <w:tcW w:w="100" w:type="dxa"/>
            <w:vAlign w:val="bottom"/>
          </w:tcPr>
          <w:p>
            <w:pPr>
              <w:spacing w:after="0"/>
              <w:rPr>
                <w:sz w:val="21"/>
                <w:szCs w:val="21"/>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$3.0</w:t>
            </w: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Lucas Meyer</w:t>
            </w:r>
          </w:p>
        </w:tc>
        <w:tc>
          <w:tcPr>
            <w:tcW w:w="4200" w:type="dxa"/>
            <w:vAlign w:val="bottom"/>
          </w:tcPr>
          <w:p>
            <w:pPr>
              <w:jc w:val="center"/>
              <w:spacing w:after="0"/>
              <w:rPr>
                <w:sz w:val="20"/>
                <w:szCs w:val="20"/>
                <w:color w:val="auto"/>
              </w:rPr>
            </w:pPr>
            <w:r>
              <w:rPr>
                <w:rFonts w:ascii="Arial" w:cs="Arial" w:eastAsia="Arial" w:hAnsi="Arial"/>
                <w:sz w:val="18"/>
                <w:szCs w:val="18"/>
                <w:color w:val="auto"/>
                <w:w w:val="91"/>
              </w:rPr>
              <w:t>$1.7</w:t>
            </w:r>
          </w:p>
        </w:tc>
        <w:tc>
          <w:tcPr>
            <w:tcW w:w="100" w:type="dxa"/>
            <w:vAlign w:val="bottom"/>
          </w:tcPr>
          <w:p>
            <w:pPr>
              <w:spacing w:after="0"/>
              <w:rPr>
                <w:sz w:val="23"/>
                <w:szCs w:val="23"/>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$1.7</w:t>
            </w:r>
          </w:p>
        </w:tc>
      </w:tr>
      <w:tr>
        <w:trPr>
          <w:trHeight w:val="864"/>
        </w:trPr>
        <w:tc>
          <w:tcPr>
            <w:tcW w:w="2500" w:type="dxa"/>
            <w:vAlign w:val="bottom"/>
          </w:tcPr>
          <w:p>
            <w:pPr>
              <w:spacing w:after="0"/>
              <w:rPr>
                <w:sz w:val="24"/>
                <w:szCs w:val="24"/>
                <w:color w:val="auto"/>
              </w:rPr>
            </w:pPr>
          </w:p>
        </w:tc>
        <w:tc>
          <w:tcPr>
            <w:tcW w:w="4200" w:type="dxa"/>
            <w:vAlign w:val="bottom"/>
          </w:tcPr>
          <w:p>
            <w:pPr>
              <w:jc w:val="right"/>
              <w:ind w:right="7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400"/>
          </w:cols>
          <w:pgMar w:left="240" w:top="746"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the Company’s 2014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September 30, 2015 that have materially affected, or are reasonably likely to materially affect, our internal control over financial reporting.</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Prior to September 30, 2015, we were a party to dividend withholding tax controversies in Spain. As of September 30, 2015, the three dividend withholding tax controversies in Spain have now been resolved. The Company made total payments of Euro 4.5 million ($4.9 million) during the second quarter of 2015 related to the resolution of these three controversies.</w:t>
      </w:r>
    </w:p>
    <w:p>
      <w:pPr>
        <w:spacing w:after="0" w:line="12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do not currently believe that any of our pending tax assessments, even if ultimately resolved against us, would have a material impact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823" w:right="279" w:bottom="1440" w:gutter="0" w:footer="0" w:header="0"/>
        </w:sectPr>
      </w:pPr>
    </w:p>
    <w:bookmarkStart w:id="32" w:name="page33"/>
    <w:bookmarkEnd w:id="32"/>
    <w:p>
      <w:pPr>
        <w:spacing w:after="0" w:line="270" w:lineRule="auto"/>
        <w:rPr>
          <w:sz w:val="20"/>
          <w:szCs w:val="20"/>
          <w:color w:val="auto"/>
        </w:rPr>
      </w:pPr>
      <w:r>
        <w:rPr>
          <w:rFonts w:ascii="Arial" w:cs="Arial" w:eastAsia="Arial" w:hAnsi="Arial"/>
          <w:sz w:val="17"/>
          <w:szCs w:val="17"/>
          <w:color w:val="auto"/>
        </w:rPr>
        <w:t>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mid 2016.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2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spacing w:after="0" w:line="209" w:lineRule="auto"/>
        <w:framePr w:w="2000" w:h="160" w:wrap="auto" w:vAnchor="page" w:hAnchor="page" w:x="1280" w:y="6881"/>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2820" w:h="160" w:wrap="auto" w:vAnchor="page" w:hAnchor="page" w:x="1280" w:y="7151"/>
        <w:rPr>
          <w:rFonts w:ascii="Arial" w:cs="Arial" w:eastAsia="Arial" w:hAnsi="Arial"/>
          <w:sz w:val="16"/>
          <w:szCs w:val="16"/>
          <w:color w:val="auto"/>
        </w:rPr>
      </w:pPr>
      <w:r>
        <w:rPr>
          <w:rFonts w:ascii="Arial" w:cs="Arial" w:eastAsia="Arial" w:hAnsi="Arial"/>
          <w:sz w:val="16"/>
          <w:szCs w:val="16"/>
          <w:color w:val="auto"/>
        </w:rPr>
        <w:t>XBRL Taxonomy Extensions Schema</w:t>
      </w:r>
    </w:p>
    <w:p>
      <w:pPr>
        <w:spacing w:after="0" w:line="316" w:lineRule="auto"/>
        <w:framePr w:w="3780" w:h="971" w:wrap="auto" w:vAnchor="page" w:hAnchor="page" w:x="1280" w:y="7421"/>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rFonts w:ascii="Arial" w:cs="Arial" w:eastAsia="Arial" w:hAnsi="Arial"/>
          <w:sz w:val="16"/>
          <w:szCs w:val="16"/>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third quarter of 2015.</w:t>
      </w:r>
    </w:p>
    <w:p>
      <w:pPr>
        <w:spacing w:after="0" w:line="15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460" w:type="dxa"/>
            <w:vAlign w:val="bottom"/>
          </w:tcPr>
          <w:p>
            <w:pPr>
              <w:spacing w:after="0"/>
              <w:rPr>
                <w:sz w:val="14"/>
                <w:szCs w:val="14"/>
                <w:color w:val="auto"/>
              </w:rPr>
            </w:pPr>
          </w:p>
        </w:tc>
        <w:tc>
          <w:tcPr>
            <w:tcW w:w="19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1 - 31, 2015</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167,731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51,508,886</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August 1 - 31, 2015</w:t>
            </w:r>
          </w:p>
        </w:tc>
        <w:tc>
          <w:tcPr>
            <w:tcW w:w="2280" w:type="dxa"/>
            <w:vAlign w:val="bottom"/>
          </w:tcPr>
          <w:p>
            <w:pPr>
              <w:jc w:val="right"/>
              <w:ind w:right="38"/>
              <w:spacing w:after="0"/>
              <w:rPr>
                <w:sz w:val="20"/>
                <w:szCs w:val="20"/>
                <w:color w:val="auto"/>
              </w:rPr>
            </w:pPr>
            <w:r>
              <w:rPr>
                <w:rFonts w:ascii="Arial" w:cs="Arial" w:eastAsia="Arial" w:hAnsi="Arial"/>
                <w:sz w:val="18"/>
                <w:szCs w:val="18"/>
                <w:color w:val="auto"/>
              </w:rPr>
              <w:t>147,026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113.94</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147,026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284,757,026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1 - 30, 2015</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66,071</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106.86</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66,071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277,696,480</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380,828</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111.40</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380,828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277,696,480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rFonts w:ascii="Arial" w:cs="Arial" w:eastAsia="Arial" w:hAnsi="Arial"/>
          <w:sz w:val="16"/>
          <w:szCs w:val="16"/>
          <w:color w:val="auto"/>
        </w:rPr>
      </w:pPr>
    </w:p>
    <w:p>
      <w:pPr>
        <w:ind w:left="340" w:right="160" w:hanging="332"/>
        <w:spacing w:after="0" w:line="279"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with repurchases beginning in the first quarter of 2013. In August 2015, the Board of Directors amended the program, authorizing an additional $250 million and extending the program through December 31, 2017. Repurchases under the amended program are limited to $500 million in total repurchase price, and the expiration date is December 31, 2017. Authorization of the repurchase program may be modified, suspended, or discontinued at any time.</w:t>
      </w:r>
    </w:p>
    <w:p>
      <w:pPr>
        <w:spacing w:after="0" w:line="316"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8880" w:type="dxa"/>
            <w:vAlign w:val="bottom"/>
          </w:tcPr>
          <w:p>
            <w:pPr>
              <w:spacing w:after="0"/>
              <w:rPr>
                <w:sz w:val="17"/>
                <w:szCs w:val="17"/>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1"/>
              </w:rPr>
              <w:t>Form of Equity Choice Program Award Agreement under the International Flavors &amp; Fragrances 2015 Stock Award and Incentive Plan</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Certification of Alison A. Cornell pursuant to Section 302 of the Sarbanes-Oxley Act of 2002.</w:t>
            </w:r>
          </w:p>
        </w:tc>
      </w:tr>
    </w:tbl>
    <w:p>
      <w:pPr>
        <w:spacing w:after="0" w:line="40" w:lineRule="exact"/>
        <w:rPr>
          <w:rFonts w:ascii="Arial" w:cs="Arial" w:eastAsia="Arial" w:hAnsi="Arial"/>
          <w:sz w:val="16"/>
          <w:szCs w:val="16"/>
          <w:color w:val="auto"/>
        </w:rPr>
      </w:pPr>
    </w:p>
    <w:p>
      <w:pPr>
        <w:ind w:left="1080" w:right="320" w:hanging="1045"/>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Alison A. Cornell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Alison A. Cornell</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80"/>
          </w:cols>
          <w:pgMar w:left="240" w:top="580" w:right="879" w:bottom="1440" w:gutter="0" w:footer="0" w:header="0"/>
        </w:sectPr>
      </w:pPr>
    </w:p>
    <w:bookmarkStart w:id="35" w:name="page36"/>
    <w:bookmarkEnd w:id="35"/>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94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jc w:val="right"/>
              <w:ind w:right="94"/>
              <w:spacing w:after="0"/>
              <w:rPr>
                <w:sz w:val="20"/>
                <w:szCs w:val="20"/>
                <w:color w:val="auto"/>
              </w:rPr>
            </w:pPr>
            <w:r>
              <w:rPr>
                <w:rFonts w:ascii="Arial" w:cs="Arial" w:eastAsia="Arial" w:hAnsi="Arial"/>
                <w:sz w:val="14"/>
                <w:szCs w:val="14"/>
                <w:color w:val="auto"/>
              </w:rPr>
              <w:t>Number</w:t>
            </w:r>
          </w:p>
        </w:tc>
        <w:tc>
          <w:tcPr>
            <w:tcW w:w="994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55"/>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10.1</w:t>
            </w:r>
          </w:p>
        </w:tc>
        <w:tc>
          <w:tcPr>
            <w:tcW w:w="9940" w:type="dxa"/>
            <w:vAlign w:val="bottom"/>
          </w:tcPr>
          <w:p>
            <w:pPr>
              <w:ind w:left="200"/>
              <w:spacing w:after="0"/>
              <w:rPr>
                <w:sz w:val="20"/>
                <w:szCs w:val="20"/>
                <w:color w:val="auto"/>
              </w:rPr>
            </w:pPr>
            <w:r>
              <w:rPr>
                <w:rFonts w:ascii="Arial" w:cs="Arial" w:eastAsia="Arial" w:hAnsi="Arial"/>
                <w:sz w:val="18"/>
                <w:szCs w:val="18"/>
                <w:color w:val="auto"/>
                <w:w w:val="91"/>
              </w:rPr>
              <w:t>Form of Equity Choice Program Award Agreement under the International Flavors &amp; Fragrances 2015 Stock Award and Incentive Plan</w:t>
            </w:r>
          </w:p>
        </w:tc>
      </w:tr>
      <w:tr>
        <w:trPr>
          <w:trHeight w:val="486"/>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of Alison A. Cornell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42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5"/>
          </w:cols>
          <w:pgMar w:left="275" w:top="580" w:right="55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20"/>
          <w:szCs w:val="20"/>
          <w:color w:val="auto"/>
        </w:rPr>
        <w:t>Exhibit 10.1</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EQUITY CHOICE PROGRAM AWARD AGREEMENT (the “</w:t>
      </w:r>
      <w:r>
        <w:rPr>
          <w:rFonts w:ascii="Arial" w:cs="Arial" w:eastAsia="Arial" w:hAnsi="Arial"/>
          <w:sz w:val="22"/>
          <w:szCs w:val="22"/>
          <w:b w:val="1"/>
          <w:bCs w:val="1"/>
          <w:u w:val="single" w:color="auto"/>
          <w:color w:val="auto"/>
        </w:rPr>
        <w:t>ECP AWARD AGREEMENT</w:t>
      </w:r>
      <w:r>
        <w:rPr>
          <w:rFonts w:ascii="Arial" w:cs="Arial" w:eastAsia="Arial" w:hAnsi="Arial"/>
          <w:sz w:val="22"/>
          <w:szCs w:val="22"/>
          <w:b w:val="1"/>
          <w:bCs w:val="1"/>
          <w:color w:val="auto"/>
        </w:rPr>
        <w: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PLAN YEAR [201X]</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355"/>
        </w:trPr>
        <w:tc>
          <w:tcPr>
            <w:tcW w:w="54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[NAME]</w:t>
            </w:r>
          </w:p>
        </w:tc>
        <w:tc>
          <w:tcPr>
            <w:tcW w:w="60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Job Level</w:t>
            </w:r>
            <w:r>
              <w:rPr>
                <w:rFonts w:ascii="Arial" w:cs="Arial" w:eastAsia="Arial" w:hAnsi="Arial"/>
                <w:sz w:val="20"/>
                <w:szCs w:val="20"/>
                <w:color w:val="auto"/>
              </w:rPr>
              <w:t>: [#]</w:t>
            </w:r>
          </w:p>
        </w:tc>
      </w:tr>
      <w:tr>
        <w:trPr>
          <w:trHeight w:val="432"/>
        </w:trPr>
        <w:tc>
          <w:tcPr>
            <w:tcW w:w="542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[ORG. UNIT/LOCATION]</w:t>
            </w:r>
          </w:p>
        </w:tc>
        <w:tc>
          <w:tcPr>
            <w:tcW w:w="602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[POSITION]</w:t>
            </w:r>
          </w:p>
        </w:tc>
      </w:tr>
      <w:tr>
        <w:trPr>
          <w:trHeight w:val="91"/>
        </w:trPr>
        <w:tc>
          <w:tcPr>
            <w:tcW w:w="5420" w:type="dxa"/>
            <w:vAlign w:val="bottom"/>
            <w:tcBorders>
              <w:left w:val="single" w:sz="8" w:color="auto"/>
              <w:bottom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This ECP Award Agreement, dated as of [X, 201X]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2015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7 of the Plan, Participant has been granted an Equity Choice Program Award, as described below (the “</w:t>
      </w:r>
      <w:r>
        <w:rPr>
          <w:rFonts w:ascii="Arial" w:cs="Arial" w:eastAsia="Arial" w:hAnsi="Arial"/>
          <w:sz w:val="20"/>
          <w:szCs w:val="20"/>
          <w:b w:val="1"/>
          <w:bCs w:val="1"/>
          <w:u w:val="single" w:color="auto"/>
          <w:color w:val="auto"/>
        </w:rPr>
        <w:t>ECP Award</w:t>
      </w:r>
      <w:r>
        <w:rPr>
          <w:rFonts w:ascii="Arial" w:cs="Arial" w:eastAsia="Arial" w:hAnsi="Arial"/>
          <w:sz w:val="20"/>
          <w:szCs w:val="20"/>
          <w:color w:val="auto"/>
        </w:rPr>
        <w:t>”), subject to the Participant’s acceptance of the attached ECP Terms and Conditions and the Plan, both of which are made a part hereof and are incorporated herein by reference.</w:t>
      </w:r>
    </w:p>
    <w:p>
      <w:pPr>
        <w:spacing w:after="0" w:line="200" w:lineRule="exact"/>
        <w:rPr>
          <w:sz w:val="20"/>
          <w:szCs w:val="20"/>
          <w:color w:val="auto"/>
        </w:rPr>
      </w:pPr>
    </w:p>
    <w:p>
      <w:pPr>
        <w:spacing w:after="0" w:line="379" w:lineRule="exact"/>
        <w:rPr>
          <w:sz w:val="20"/>
          <w:szCs w:val="20"/>
          <w:color w:val="auto"/>
        </w:rPr>
      </w:pPr>
    </w:p>
    <w:tbl>
      <w:tblPr>
        <w:tblLayout w:type="fixed"/>
        <w:tblInd w:w="330" w:type="dxa"/>
        <w:tblCellMar>
          <w:top w:w="0" w:type="dxa"/>
          <w:left w:w="0" w:type="dxa"/>
          <w:bottom w:w="0" w:type="dxa"/>
          <w:right w:w="0" w:type="dxa"/>
        </w:tblCellMar>
      </w:tblPr>
      <w:tr>
        <w:trPr>
          <w:trHeight w:val="301"/>
        </w:trPr>
        <w:tc>
          <w:tcPr>
            <w:tcW w:w="3040" w:type="dxa"/>
            <w:vAlign w:val="bottom"/>
            <w:tcBorders>
              <w:top w:val="single" w:sz="8" w:color="auto"/>
              <w:left w:val="single" w:sz="8" w:color="auto"/>
            </w:tcBorders>
            <w:gridSpan w:val="3"/>
            <w:shd w:val="clear" w:color="auto" w:fill="A6A6A6"/>
          </w:tcPr>
          <w:p>
            <w:pPr>
              <w:jc w:val="center"/>
              <w:ind w:left="590"/>
              <w:spacing w:after="0"/>
              <w:rPr>
                <w:sz w:val="20"/>
                <w:szCs w:val="20"/>
                <w:color w:val="auto"/>
              </w:rPr>
            </w:pPr>
            <w:r>
              <w:rPr>
                <w:rFonts w:ascii="Arial" w:cs="Arial" w:eastAsia="Arial" w:hAnsi="Arial"/>
                <w:sz w:val="18"/>
                <w:szCs w:val="18"/>
                <w:b w:val="1"/>
                <w:bCs w:val="1"/>
                <w:color w:val="auto"/>
                <w:w w:val="99"/>
              </w:rPr>
              <w:t>Total ECP Award Amount</w:t>
            </w:r>
          </w:p>
        </w:tc>
        <w:tc>
          <w:tcPr>
            <w:tcW w:w="660" w:type="dxa"/>
            <w:vAlign w:val="bottom"/>
            <w:tcBorders>
              <w:top w:val="single" w:sz="8" w:color="auto"/>
              <w:right w:val="single" w:sz="8" w:color="auto"/>
            </w:tcBorders>
            <w:shd w:val="clear" w:color="auto" w:fill="A6A6A6"/>
          </w:tcPr>
          <w:p>
            <w:pPr>
              <w:spacing w:after="0"/>
              <w:rPr>
                <w:sz w:val="24"/>
                <w:szCs w:val="24"/>
                <w:color w:val="auto"/>
              </w:rPr>
            </w:pPr>
          </w:p>
        </w:tc>
        <w:tc>
          <w:tcPr>
            <w:tcW w:w="1280" w:type="dxa"/>
            <w:vAlign w:val="bottom"/>
            <w:tcBorders>
              <w:top w:val="single" w:sz="8" w:color="auto"/>
              <w:right w:val="single" w:sz="8" w:color="A6A6A6"/>
            </w:tcBorders>
            <w:shd w:val="clear" w:color="auto" w:fill="A6A6A6"/>
          </w:tcPr>
          <w:p>
            <w:pPr>
              <w:spacing w:after="0"/>
              <w:rPr>
                <w:sz w:val="24"/>
                <w:szCs w:val="24"/>
                <w:color w:val="auto"/>
              </w:rPr>
            </w:pPr>
          </w:p>
        </w:tc>
        <w:tc>
          <w:tcPr>
            <w:tcW w:w="1840" w:type="dxa"/>
            <w:vAlign w:val="bottom"/>
            <w:tcBorders>
              <w:top w:val="single" w:sz="8" w:color="auto"/>
            </w:tcBorders>
            <w:shd w:val="clear" w:color="auto" w:fill="A6A6A6"/>
          </w:tcPr>
          <w:p>
            <w:pPr>
              <w:jc w:val="center"/>
              <w:ind w:right="750"/>
              <w:spacing w:after="0"/>
              <w:rPr>
                <w:sz w:val="20"/>
                <w:szCs w:val="20"/>
                <w:color w:val="auto"/>
              </w:rPr>
            </w:pPr>
            <w:r>
              <w:rPr>
                <w:rFonts w:ascii="Arial" w:cs="Arial" w:eastAsia="Arial" w:hAnsi="Arial"/>
                <w:sz w:val="18"/>
                <w:szCs w:val="18"/>
                <w:b w:val="1"/>
                <w:bCs w:val="1"/>
                <w:color w:val="auto"/>
                <w:w w:val="98"/>
              </w:rPr>
              <w:t>Vesting</w:t>
            </w:r>
          </w:p>
        </w:tc>
        <w:tc>
          <w:tcPr>
            <w:tcW w:w="440" w:type="dxa"/>
            <w:vAlign w:val="bottom"/>
            <w:tcBorders>
              <w:top w:val="single" w:sz="8" w:color="auto"/>
              <w:right w:val="single" w:sz="8" w:color="auto"/>
            </w:tcBorders>
            <w:shd w:val="clear" w:color="auto" w:fill="A6A6A6"/>
          </w:tcPr>
          <w:p>
            <w:pPr>
              <w:spacing w:after="0"/>
              <w:rPr>
                <w:sz w:val="24"/>
                <w:szCs w:val="24"/>
                <w:color w:val="auto"/>
              </w:rPr>
            </w:pPr>
          </w:p>
        </w:tc>
        <w:tc>
          <w:tcPr>
            <w:tcW w:w="3540" w:type="dxa"/>
            <w:vAlign w:val="bottom"/>
            <w:tcBorders>
              <w:top w:val="single" w:sz="8" w:color="auto"/>
              <w:right w:val="single" w:sz="8" w:color="auto"/>
            </w:tcBorders>
            <w:gridSpan w:val="3"/>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Fair Market Value* of a share of</w:t>
            </w:r>
          </w:p>
        </w:tc>
      </w:tr>
      <w:tr>
        <w:trPr>
          <w:trHeight w:val="198"/>
        </w:trPr>
        <w:tc>
          <w:tcPr>
            <w:tcW w:w="1640" w:type="dxa"/>
            <w:vAlign w:val="bottom"/>
            <w:tcBorders>
              <w:left w:val="single" w:sz="8" w:color="auto"/>
              <w:right w:val="single" w:sz="8" w:color="A6A6A6"/>
            </w:tcBorders>
            <w:shd w:val="clear" w:color="auto" w:fill="A6A6A6"/>
          </w:tcPr>
          <w:p>
            <w:pPr>
              <w:spacing w:after="0"/>
              <w:rPr>
                <w:sz w:val="17"/>
                <w:szCs w:val="17"/>
                <w:color w:val="auto"/>
              </w:rPr>
            </w:pPr>
          </w:p>
        </w:tc>
        <w:tc>
          <w:tcPr>
            <w:tcW w:w="1300" w:type="dxa"/>
            <w:vAlign w:val="bottom"/>
            <w:tcBorders>
              <w:right w:val="single" w:sz="8" w:color="A6A6A6"/>
            </w:tcBorders>
            <w:shd w:val="clear" w:color="auto" w:fill="A6A6A6"/>
          </w:tcPr>
          <w:p>
            <w:pPr>
              <w:spacing w:after="0"/>
              <w:rPr>
                <w:sz w:val="17"/>
                <w:szCs w:val="17"/>
                <w:color w:val="auto"/>
              </w:rPr>
            </w:pPr>
          </w:p>
        </w:tc>
        <w:tc>
          <w:tcPr>
            <w:tcW w:w="100" w:type="dxa"/>
            <w:vAlign w:val="bottom"/>
            <w:shd w:val="clear" w:color="auto" w:fill="A6A6A6"/>
          </w:tcPr>
          <w:p>
            <w:pPr>
              <w:spacing w:after="0"/>
              <w:rPr>
                <w:sz w:val="17"/>
                <w:szCs w:val="17"/>
                <w:color w:val="auto"/>
              </w:rPr>
            </w:pPr>
          </w:p>
        </w:tc>
        <w:tc>
          <w:tcPr>
            <w:tcW w:w="660" w:type="dxa"/>
            <w:vAlign w:val="bottom"/>
            <w:tcBorders>
              <w:right w:val="single" w:sz="8" w:color="auto"/>
            </w:tcBorders>
            <w:shd w:val="clear" w:color="auto" w:fill="A6A6A6"/>
          </w:tcPr>
          <w:p>
            <w:pPr>
              <w:spacing w:after="0"/>
              <w:rPr>
                <w:sz w:val="17"/>
                <w:szCs w:val="17"/>
                <w:color w:val="auto"/>
              </w:rPr>
            </w:pPr>
          </w:p>
        </w:tc>
        <w:tc>
          <w:tcPr>
            <w:tcW w:w="1280" w:type="dxa"/>
            <w:vAlign w:val="bottom"/>
            <w:tcBorders>
              <w:right w:val="single" w:sz="8" w:color="A6A6A6"/>
            </w:tcBorders>
            <w:shd w:val="clear" w:color="auto" w:fill="A6A6A6"/>
          </w:tcPr>
          <w:p>
            <w:pPr>
              <w:spacing w:after="0"/>
              <w:rPr>
                <w:sz w:val="17"/>
                <w:szCs w:val="17"/>
                <w:color w:val="auto"/>
              </w:rPr>
            </w:pPr>
          </w:p>
        </w:tc>
        <w:tc>
          <w:tcPr>
            <w:tcW w:w="1840" w:type="dxa"/>
            <w:vAlign w:val="bottom"/>
            <w:shd w:val="clear" w:color="auto" w:fill="A6A6A6"/>
          </w:tcPr>
          <w:p>
            <w:pPr>
              <w:spacing w:after="0"/>
              <w:rPr>
                <w:sz w:val="17"/>
                <w:szCs w:val="17"/>
                <w:color w:val="auto"/>
              </w:rPr>
            </w:pPr>
          </w:p>
        </w:tc>
        <w:tc>
          <w:tcPr>
            <w:tcW w:w="440" w:type="dxa"/>
            <w:vAlign w:val="bottom"/>
            <w:tcBorders>
              <w:right w:val="single" w:sz="8" w:color="auto"/>
            </w:tcBorders>
            <w:shd w:val="clear" w:color="auto" w:fill="A6A6A6"/>
          </w:tcPr>
          <w:p>
            <w:pPr>
              <w:spacing w:after="0"/>
              <w:rPr>
                <w:sz w:val="17"/>
                <w:szCs w:val="17"/>
                <w:color w:val="auto"/>
              </w:rPr>
            </w:pPr>
          </w:p>
        </w:tc>
        <w:tc>
          <w:tcPr>
            <w:tcW w:w="3540" w:type="dxa"/>
            <w:vAlign w:val="bottom"/>
            <w:tcBorders>
              <w:right w:val="single" w:sz="8" w:color="auto"/>
            </w:tcBorders>
            <w:gridSpan w:val="3"/>
            <w:shd w:val="clear" w:color="auto" w:fill="A6A6A6"/>
          </w:tcPr>
          <w:p>
            <w:pPr>
              <w:jc w:val="center"/>
              <w:spacing w:after="0" w:line="199" w:lineRule="exact"/>
              <w:rPr>
                <w:sz w:val="20"/>
                <w:szCs w:val="20"/>
                <w:color w:val="auto"/>
              </w:rPr>
            </w:pPr>
            <w:r>
              <w:rPr>
                <w:rFonts w:ascii="Arial" w:cs="Arial" w:eastAsia="Arial" w:hAnsi="Arial"/>
                <w:sz w:val="18"/>
                <w:szCs w:val="18"/>
                <w:b w:val="1"/>
                <w:bCs w:val="1"/>
                <w:color w:val="auto"/>
                <w:w w:val="99"/>
              </w:rPr>
              <w:t>Common Stock (a “Share”) on Grant</w:t>
            </w:r>
          </w:p>
        </w:tc>
      </w:tr>
      <w:tr>
        <w:trPr>
          <w:trHeight w:val="223"/>
        </w:trPr>
        <w:tc>
          <w:tcPr>
            <w:tcW w:w="1640" w:type="dxa"/>
            <w:vAlign w:val="bottom"/>
            <w:tcBorders>
              <w:top w:val="single" w:sz="8" w:color="A6A6A6"/>
              <w:left w:val="single" w:sz="8" w:color="auto"/>
              <w:right w:val="single" w:sz="8" w:color="A6A6A6"/>
            </w:tcBorders>
            <w:shd w:val="clear" w:color="auto" w:fill="A6A6A6"/>
          </w:tcPr>
          <w:p>
            <w:pPr>
              <w:spacing w:after="0"/>
              <w:rPr>
                <w:sz w:val="19"/>
                <w:szCs w:val="19"/>
                <w:color w:val="auto"/>
              </w:rPr>
            </w:pPr>
          </w:p>
        </w:tc>
        <w:tc>
          <w:tcPr>
            <w:tcW w:w="1300" w:type="dxa"/>
            <w:vAlign w:val="bottom"/>
            <w:tcBorders>
              <w:top w:val="single" w:sz="8" w:color="A6A6A6"/>
              <w:right w:val="single" w:sz="8" w:color="A6A6A6"/>
            </w:tcBorders>
            <w:shd w:val="clear" w:color="auto" w:fill="A6A6A6"/>
          </w:tcPr>
          <w:p>
            <w:pPr>
              <w:spacing w:after="0"/>
              <w:rPr>
                <w:sz w:val="19"/>
                <w:szCs w:val="19"/>
                <w:color w:val="auto"/>
              </w:rPr>
            </w:pPr>
          </w:p>
        </w:tc>
        <w:tc>
          <w:tcPr>
            <w:tcW w:w="100" w:type="dxa"/>
            <w:vAlign w:val="bottom"/>
            <w:tcBorders>
              <w:top w:val="single" w:sz="8" w:color="A6A6A6"/>
            </w:tcBorders>
            <w:shd w:val="clear" w:color="auto" w:fill="A6A6A6"/>
          </w:tcPr>
          <w:p>
            <w:pPr>
              <w:spacing w:after="0"/>
              <w:rPr>
                <w:sz w:val="19"/>
                <w:szCs w:val="19"/>
                <w:color w:val="auto"/>
              </w:rPr>
            </w:pPr>
          </w:p>
        </w:tc>
        <w:tc>
          <w:tcPr>
            <w:tcW w:w="660" w:type="dxa"/>
            <w:vAlign w:val="bottom"/>
            <w:tcBorders>
              <w:top w:val="single" w:sz="8" w:color="A6A6A6"/>
              <w:right w:val="single" w:sz="8" w:color="auto"/>
            </w:tcBorders>
            <w:shd w:val="clear" w:color="auto" w:fill="A6A6A6"/>
          </w:tcPr>
          <w:p>
            <w:pPr>
              <w:spacing w:after="0"/>
              <w:rPr>
                <w:sz w:val="19"/>
                <w:szCs w:val="19"/>
                <w:color w:val="auto"/>
              </w:rPr>
            </w:pPr>
          </w:p>
        </w:tc>
        <w:tc>
          <w:tcPr>
            <w:tcW w:w="1280" w:type="dxa"/>
            <w:vAlign w:val="bottom"/>
            <w:tcBorders>
              <w:top w:val="single" w:sz="8" w:color="A6A6A6"/>
              <w:right w:val="single" w:sz="8" w:color="A6A6A6"/>
            </w:tcBorders>
            <w:shd w:val="clear" w:color="auto" w:fill="A6A6A6"/>
          </w:tcPr>
          <w:p>
            <w:pPr>
              <w:spacing w:after="0"/>
              <w:rPr>
                <w:sz w:val="19"/>
                <w:szCs w:val="19"/>
                <w:color w:val="auto"/>
              </w:rPr>
            </w:pPr>
          </w:p>
        </w:tc>
        <w:tc>
          <w:tcPr>
            <w:tcW w:w="1840" w:type="dxa"/>
            <w:vAlign w:val="bottom"/>
            <w:tcBorders>
              <w:top w:val="single" w:sz="8" w:color="A6A6A6"/>
            </w:tcBorders>
            <w:shd w:val="clear" w:color="auto" w:fill="A6A6A6"/>
          </w:tcPr>
          <w:p>
            <w:pPr>
              <w:spacing w:after="0"/>
              <w:rPr>
                <w:sz w:val="19"/>
                <w:szCs w:val="19"/>
                <w:color w:val="auto"/>
              </w:rPr>
            </w:pPr>
          </w:p>
        </w:tc>
        <w:tc>
          <w:tcPr>
            <w:tcW w:w="440" w:type="dxa"/>
            <w:vAlign w:val="bottom"/>
            <w:tcBorders>
              <w:top w:val="single" w:sz="8" w:color="A6A6A6"/>
              <w:right w:val="single" w:sz="8" w:color="auto"/>
            </w:tcBorders>
            <w:shd w:val="clear" w:color="auto" w:fill="A6A6A6"/>
          </w:tcPr>
          <w:p>
            <w:pPr>
              <w:spacing w:after="0"/>
              <w:rPr>
                <w:sz w:val="19"/>
                <w:szCs w:val="19"/>
                <w:color w:val="auto"/>
              </w:rPr>
            </w:pPr>
          </w:p>
        </w:tc>
        <w:tc>
          <w:tcPr>
            <w:tcW w:w="1920" w:type="dxa"/>
            <w:vAlign w:val="bottom"/>
            <w:tcBorders>
              <w:top w:val="single" w:sz="8" w:color="A6A6A6"/>
            </w:tcBorders>
            <w:shd w:val="clear" w:color="auto" w:fill="A6A6A6"/>
          </w:tcPr>
          <w:p>
            <w:pPr>
              <w:ind w:left="1600"/>
              <w:spacing w:after="0"/>
              <w:rPr>
                <w:sz w:val="20"/>
                <w:szCs w:val="20"/>
                <w:color w:val="auto"/>
              </w:rPr>
            </w:pPr>
            <w:r>
              <w:rPr>
                <w:rFonts w:ascii="Arial" w:cs="Arial" w:eastAsia="Arial" w:hAnsi="Arial"/>
                <w:sz w:val="18"/>
                <w:szCs w:val="18"/>
                <w:b w:val="1"/>
                <w:bCs w:val="1"/>
                <w:color w:val="auto"/>
                <w:w w:val="76"/>
              </w:rPr>
              <w:t>Date</w:t>
            </w:r>
          </w:p>
        </w:tc>
        <w:tc>
          <w:tcPr>
            <w:tcW w:w="500" w:type="dxa"/>
            <w:vAlign w:val="bottom"/>
            <w:tcBorders>
              <w:top w:val="single" w:sz="8" w:color="auto"/>
            </w:tcBorders>
            <w:shd w:val="clear" w:color="auto" w:fill="A6A6A6"/>
          </w:tcPr>
          <w:p>
            <w:pPr>
              <w:spacing w:after="0"/>
              <w:rPr>
                <w:sz w:val="19"/>
                <w:szCs w:val="19"/>
                <w:color w:val="auto"/>
              </w:rPr>
            </w:pPr>
          </w:p>
        </w:tc>
        <w:tc>
          <w:tcPr>
            <w:tcW w:w="1120" w:type="dxa"/>
            <w:vAlign w:val="bottom"/>
            <w:tcBorders>
              <w:top w:val="single" w:sz="8" w:color="A6A6A6"/>
              <w:right w:val="single" w:sz="8" w:color="auto"/>
            </w:tcBorders>
            <w:shd w:val="clear" w:color="auto" w:fill="A6A6A6"/>
          </w:tcPr>
          <w:p>
            <w:pPr>
              <w:spacing w:after="0"/>
              <w:rPr>
                <w:sz w:val="19"/>
                <w:szCs w:val="19"/>
                <w:color w:val="auto"/>
              </w:rPr>
            </w:pPr>
          </w:p>
        </w:tc>
      </w:tr>
      <w:tr>
        <w:trPr>
          <w:trHeight w:val="95"/>
        </w:trPr>
        <w:tc>
          <w:tcPr>
            <w:tcW w:w="1640" w:type="dxa"/>
            <w:vAlign w:val="bottom"/>
            <w:tcBorders>
              <w:left w:val="single" w:sz="8" w:color="auto"/>
              <w:bottom w:val="single" w:sz="8" w:color="auto"/>
              <w:right w:val="single" w:sz="8" w:color="A6A6A6"/>
            </w:tcBorders>
            <w:shd w:val="clear" w:color="auto" w:fill="A6A6A6"/>
          </w:tcPr>
          <w:p>
            <w:pPr>
              <w:spacing w:after="0"/>
              <w:rPr>
                <w:sz w:val="8"/>
                <w:szCs w:val="8"/>
                <w:color w:val="auto"/>
              </w:rPr>
            </w:pPr>
          </w:p>
        </w:tc>
        <w:tc>
          <w:tcPr>
            <w:tcW w:w="1300" w:type="dxa"/>
            <w:vAlign w:val="bottom"/>
            <w:tcBorders>
              <w:bottom w:val="single" w:sz="8" w:color="auto"/>
              <w:right w:val="single" w:sz="8" w:color="A6A6A6"/>
            </w:tcBorders>
            <w:shd w:val="clear" w:color="auto" w:fill="A6A6A6"/>
          </w:tcPr>
          <w:p>
            <w:pPr>
              <w:spacing w:after="0"/>
              <w:rPr>
                <w:sz w:val="8"/>
                <w:szCs w:val="8"/>
                <w:color w:val="auto"/>
              </w:rPr>
            </w:pPr>
          </w:p>
        </w:tc>
        <w:tc>
          <w:tcPr>
            <w:tcW w:w="100" w:type="dxa"/>
            <w:vAlign w:val="bottom"/>
            <w:tcBorders>
              <w:bottom w:val="single" w:sz="8" w:color="auto"/>
            </w:tcBorders>
            <w:shd w:val="clear" w:color="auto" w:fill="A6A6A6"/>
          </w:tcPr>
          <w:p>
            <w:pPr>
              <w:spacing w:after="0"/>
              <w:rPr>
                <w:sz w:val="8"/>
                <w:szCs w:val="8"/>
                <w:color w:val="auto"/>
              </w:rPr>
            </w:pPr>
          </w:p>
        </w:tc>
        <w:tc>
          <w:tcPr>
            <w:tcW w:w="660" w:type="dxa"/>
            <w:vAlign w:val="bottom"/>
            <w:tcBorders>
              <w:bottom w:val="single" w:sz="8" w:color="auto"/>
              <w:right w:val="single" w:sz="8" w:color="auto"/>
            </w:tcBorders>
            <w:shd w:val="clear" w:color="auto" w:fill="A6A6A6"/>
          </w:tcPr>
          <w:p>
            <w:pPr>
              <w:spacing w:after="0"/>
              <w:rPr>
                <w:sz w:val="8"/>
                <w:szCs w:val="8"/>
                <w:color w:val="auto"/>
              </w:rPr>
            </w:pPr>
          </w:p>
        </w:tc>
        <w:tc>
          <w:tcPr>
            <w:tcW w:w="1280" w:type="dxa"/>
            <w:vAlign w:val="bottom"/>
            <w:tcBorders>
              <w:bottom w:val="single" w:sz="8" w:color="auto"/>
              <w:right w:val="single" w:sz="8" w:color="A6A6A6"/>
            </w:tcBorders>
            <w:shd w:val="clear" w:color="auto" w:fill="A6A6A6"/>
          </w:tcPr>
          <w:p>
            <w:pPr>
              <w:spacing w:after="0"/>
              <w:rPr>
                <w:sz w:val="8"/>
                <w:szCs w:val="8"/>
                <w:color w:val="auto"/>
              </w:rPr>
            </w:pPr>
          </w:p>
        </w:tc>
        <w:tc>
          <w:tcPr>
            <w:tcW w:w="1840" w:type="dxa"/>
            <w:vAlign w:val="bottom"/>
            <w:tcBorders>
              <w:bottom w:val="single" w:sz="8" w:color="auto"/>
            </w:tcBorders>
            <w:shd w:val="clear" w:color="auto" w:fill="A6A6A6"/>
          </w:tcPr>
          <w:p>
            <w:pPr>
              <w:spacing w:after="0"/>
              <w:rPr>
                <w:sz w:val="8"/>
                <w:szCs w:val="8"/>
                <w:color w:val="auto"/>
              </w:rPr>
            </w:pPr>
          </w:p>
        </w:tc>
        <w:tc>
          <w:tcPr>
            <w:tcW w:w="440" w:type="dxa"/>
            <w:vAlign w:val="bottom"/>
            <w:tcBorders>
              <w:bottom w:val="single" w:sz="8" w:color="auto"/>
              <w:right w:val="single" w:sz="8" w:color="auto"/>
            </w:tcBorders>
            <w:shd w:val="clear" w:color="auto" w:fill="A6A6A6"/>
          </w:tcPr>
          <w:p>
            <w:pPr>
              <w:spacing w:after="0"/>
              <w:rPr>
                <w:sz w:val="8"/>
                <w:szCs w:val="8"/>
                <w:color w:val="auto"/>
              </w:rPr>
            </w:pPr>
          </w:p>
        </w:tc>
        <w:tc>
          <w:tcPr>
            <w:tcW w:w="1920" w:type="dxa"/>
            <w:vAlign w:val="bottom"/>
            <w:tcBorders>
              <w:bottom w:val="single" w:sz="8" w:color="auto"/>
            </w:tcBorders>
            <w:shd w:val="clear" w:color="auto" w:fill="A6A6A6"/>
          </w:tcPr>
          <w:p>
            <w:pPr>
              <w:spacing w:after="0"/>
              <w:rPr>
                <w:sz w:val="8"/>
                <w:szCs w:val="8"/>
                <w:color w:val="auto"/>
              </w:rPr>
            </w:pPr>
          </w:p>
        </w:tc>
        <w:tc>
          <w:tcPr>
            <w:tcW w:w="500" w:type="dxa"/>
            <w:vAlign w:val="bottom"/>
            <w:tcBorders>
              <w:bottom w:val="single" w:sz="8" w:color="auto"/>
            </w:tcBorders>
            <w:shd w:val="clear" w:color="auto" w:fill="A6A6A6"/>
          </w:tcPr>
          <w:p>
            <w:pPr>
              <w:spacing w:after="0"/>
              <w:rPr>
                <w:sz w:val="8"/>
                <w:szCs w:val="8"/>
                <w:color w:val="auto"/>
              </w:rPr>
            </w:pPr>
          </w:p>
        </w:tc>
        <w:tc>
          <w:tcPr>
            <w:tcW w:w="1120" w:type="dxa"/>
            <w:vAlign w:val="bottom"/>
            <w:tcBorders>
              <w:bottom w:val="single" w:sz="8" w:color="auto"/>
              <w:right w:val="single" w:sz="8" w:color="auto"/>
            </w:tcBorders>
            <w:shd w:val="clear" w:color="auto" w:fill="A6A6A6"/>
          </w:tcPr>
          <w:p>
            <w:pPr>
              <w:spacing w:after="0"/>
              <w:rPr>
                <w:sz w:val="8"/>
                <w:szCs w:val="8"/>
                <w:color w:val="auto"/>
              </w:rPr>
            </w:pPr>
          </w:p>
        </w:tc>
      </w:tr>
      <w:tr>
        <w:trPr>
          <w:trHeight w:val="291"/>
        </w:trPr>
        <w:tc>
          <w:tcPr>
            <w:tcW w:w="1640" w:type="dxa"/>
            <w:vAlign w:val="bottom"/>
            <w:tcBorders>
              <w:left w:val="single" w:sz="8" w:color="4F81BD"/>
            </w:tcBorders>
          </w:tcPr>
          <w:p>
            <w:pPr>
              <w:spacing w:after="0"/>
              <w:rPr>
                <w:sz w:val="24"/>
                <w:szCs w:val="24"/>
                <w:color w:val="auto"/>
              </w:rPr>
            </w:pPr>
          </w:p>
        </w:tc>
        <w:tc>
          <w:tcPr>
            <w:tcW w:w="13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tcPr>
          <w:p>
            <w:pPr>
              <w:jc w:val="center"/>
              <w:ind w:right="750"/>
              <w:spacing w:after="0"/>
              <w:rPr>
                <w:sz w:val="20"/>
                <w:szCs w:val="20"/>
                <w:color w:val="auto"/>
              </w:rPr>
            </w:pPr>
            <w:r>
              <w:rPr>
                <w:rFonts w:ascii="Arial" w:cs="Arial" w:eastAsia="Arial" w:hAnsi="Arial"/>
                <w:sz w:val="18"/>
                <w:szCs w:val="18"/>
                <w:color w:val="auto"/>
                <w:w w:val="96"/>
              </w:rPr>
              <w:t>[DATE]</w:t>
            </w:r>
          </w:p>
        </w:tc>
        <w:tc>
          <w:tcPr>
            <w:tcW w:w="440" w:type="dxa"/>
            <w:vAlign w:val="bottom"/>
            <w:tcBorders>
              <w:right w:val="single" w:sz="8" w:color="auto"/>
            </w:tcBorders>
          </w:tcPr>
          <w:p>
            <w:pPr>
              <w:spacing w:after="0"/>
              <w:rPr>
                <w:sz w:val="24"/>
                <w:szCs w:val="24"/>
                <w:color w:val="auto"/>
              </w:rPr>
            </w:pPr>
          </w:p>
        </w:tc>
        <w:tc>
          <w:tcPr>
            <w:tcW w:w="1920" w:type="dxa"/>
            <w:vAlign w:val="bottom"/>
          </w:tcPr>
          <w:p>
            <w:pPr>
              <w:jc w:val="center"/>
              <w:ind w:left="155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4"/>
                <w:szCs w:val="24"/>
                <w:color w:val="auto"/>
              </w:rPr>
            </w:pPr>
          </w:p>
        </w:tc>
        <w:tc>
          <w:tcPr>
            <w:tcW w:w="1120" w:type="dxa"/>
            <w:vAlign w:val="bottom"/>
            <w:tcBorders>
              <w:right w:val="single" w:sz="8" w:color="4F81BD"/>
            </w:tcBorders>
          </w:tcPr>
          <w:p>
            <w:pPr>
              <w:spacing w:after="0"/>
              <w:rPr>
                <w:sz w:val="24"/>
                <w:szCs w:val="24"/>
                <w:color w:val="auto"/>
              </w:rPr>
            </w:pPr>
          </w:p>
        </w:tc>
      </w:tr>
      <w:tr>
        <w:trPr>
          <w:trHeight w:val="149"/>
        </w:trPr>
        <w:tc>
          <w:tcPr>
            <w:tcW w:w="1640" w:type="dxa"/>
            <w:vAlign w:val="bottom"/>
            <w:tcBorders>
              <w:left w:val="single" w:sz="8" w:color="4F81BD"/>
              <w:bottom w:val="single" w:sz="8" w:color="4F81BD"/>
            </w:tcBorders>
          </w:tcPr>
          <w:p>
            <w:pPr>
              <w:spacing w:after="0"/>
              <w:rPr>
                <w:sz w:val="12"/>
                <w:szCs w:val="12"/>
                <w:color w:val="auto"/>
              </w:rPr>
            </w:pPr>
          </w:p>
        </w:tc>
        <w:tc>
          <w:tcPr>
            <w:tcW w:w="1300" w:type="dxa"/>
            <w:vAlign w:val="bottom"/>
            <w:tcBorders>
              <w:bottom w:val="single" w:sz="8" w:color="4F81BD"/>
            </w:tcBorders>
          </w:tcPr>
          <w:p>
            <w:pPr>
              <w:spacing w:after="0"/>
              <w:rPr>
                <w:sz w:val="12"/>
                <w:szCs w:val="12"/>
                <w:color w:val="auto"/>
              </w:rPr>
            </w:pPr>
          </w:p>
        </w:tc>
        <w:tc>
          <w:tcPr>
            <w:tcW w:w="100" w:type="dxa"/>
            <w:vAlign w:val="bottom"/>
            <w:tcBorders>
              <w:bottom w:val="single" w:sz="8" w:color="4F81BD"/>
            </w:tcBorders>
          </w:tcPr>
          <w:p>
            <w:pPr>
              <w:spacing w:after="0"/>
              <w:rPr>
                <w:sz w:val="12"/>
                <w:szCs w:val="12"/>
                <w:color w:val="auto"/>
              </w:rPr>
            </w:pPr>
          </w:p>
        </w:tc>
        <w:tc>
          <w:tcPr>
            <w:tcW w:w="660" w:type="dxa"/>
            <w:vAlign w:val="bottom"/>
            <w:tcBorders>
              <w:bottom w:val="single" w:sz="8" w:color="4F81BD"/>
              <w:right w:val="single" w:sz="8" w:color="auto"/>
            </w:tcBorders>
          </w:tcPr>
          <w:p>
            <w:pPr>
              <w:spacing w:after="0"/>
              <w:rPr>
                <w:sz w:val="12"/>
                <w:szCs w:val="12"/>
                <w:color w:val="auto"/>
              </w:rPr>
            </w:pPr>
          </w:p>
        </w:tc>
        <w:tc>
          <w:tcPr>
            <w:tcW w:w="1280" w:type="dxa"/>
            <w:vAlign w:val="bottom"/>
            <w:tcBorders>
              <w:bottom w:val="single" w:sz="8" w:color="4F81BD"/>
            </w:tcBorders>
          </w:tcPr>
          <w:p>
            <w:pPr>
              <w:spacing w:after="0"/>
              <w:rPr>
                <w:sz w:val="12"/>
                <w:szCs w:val="12"/>
                <w:color w:val="auto"/>
              </w:rPr>
            </w:pPr>
          </w:p>
        </w:tc>
        <w:tc>
          <w:tcPr>
            <w:tcW w:w="1840" w:type="dxa"/>
            <w:vAlign w:val="bottom"/>
            <w:tcBorders>
              <w:bottom w:val="single" w:sz="8" w:color="4F81BD"/>
            </w:tcBorders>
          </w:tcPr>
          <w:p>
            <w:pPr>
              <w:spacing w:after="0"/>
              <w:rPr>
                <w:sz w:val="12"/>
                <w:szCs w:val="12"/>
                <w:color w:val="auto"/>
              </w:rPr>
            </w:pPr>
          </w:p>
        </w:tc>
        <w:tc>
          <w:tcPr>
            <w:tcW w:w="440" w:type="dxa"/>
            <w:vAlign w:val="bottom"/>
            <w:tcBorders>
              <w:bottom w:val="single" w:sz="8" w:color="4F81BD"/>
              <w:right w:val="single" w:sz="8" w:color="auto"/>
            </w:tcBorders>
          </w:tcPr>
          <w:p>
            <w:pPr>
              <w:spacing w:after="0"/>
              <w:rPr>
                <w:sz w:val="12"/>
                <w:szCs w:val="12"/>
                <w:color w:val="auto"/>
              </w:rPr>
            </w:pPr>
          </w:p>
        </w:tc>
        <w:tc>
          <w:tcPr>
            <w:tcW w:w="1920" w:type="dxa"/>
            <w:vAlign w:val="bottom"/>
            <w:tcBorders>
              <w:bottom w:val="single" w:sz="8" w:color="4F81BD"/>
            </w:tcBorders>
          </w:tcPr>
          <w:p>
            <w:pPr>
              <w:spacing w:after="0"/>
              <w:rPr>
                <w:sz w:val="12"/>
                <w:szCs w:val="12"/>
                <w:color w:val="auto"/>
              </w:rPr>
            </w:pPr>
          </w:p>
        </w:tc>
        <w:tc>
          <w:tcPr>
            <w:tcW w:w="500" w:type="dxa"/>
            <w:vAlign w:val="bottom"/>
            <w:tcBorders>
              <w:bottom w:val="single" w:sz="8" w:color="4F81BD"/>
            </w:tcBorders>
          </w:tcPr>
          <w:p>
            <w:pPr>
              <w:spacing w:after="0"/>
              <w:rPr>
                <w:sz w:val="12"/>
                <w:szCs w:val="12"/>
                <w:color w:val="auto"/>
              </w:rPr>
            </w:pPr>
          </w:p>
        </w:tc>
        <w:tc>
          <w:tcPr>
            <w:tcW w:w="1120" w:type="dxa"/>
            <w:vAlign w:val="bottom"/>
            <w:tcBorders>
              <w:bottom w:val="single" w:sz="8" w:color="4F81BD"/>
              <w:right w:val="single" w:sz="8" w:color="4F81BD"/>
            </w:tcBorders>
          </w:tcPr>
          <w:p>
            <w:pPr>
              <w:spacing w:after="0"/>
              <w:rPr>
                <w:sz w:val="12"/>
                <w:szCs w:val="12"/>
                <w:color w:val="auto"/>
              </w:rPr>
            </w:pPr>
          </w:p>
        </w:tc>
      </w:tr>
      <w:tr>
        <w:trPr>
          <w:trHeight w:val="719"/>
        </w:trPr>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20" w:type="dxa"/>
            <w:vAlign w:val="bottom"/>
            <w:gridSpan w:val="2"/>
          </w:tcPr>
          <w:p>
            <w:pPr>
              <w:ind w:left="480"/>
              <w:spacing w:after="0"/>
              <w:rPr>
                <w:sz w:val="20"/>
                <w:szCs w:val="20"/>
                <w:color w:val="auto"/>
              </w:rPr>
            </w:pPr>
            <w:r>
              <w:rPr>
                <w:rFonts w:ascii="Arial" w:cs="Arial" w:eastAsia="Arial" w:hAnsi="Arial"/>
                <w:sz w:val="22"/>
                <w:szCs w:val="22"/>
                <w:b w:val="1"/>
                <w:bCs w:val="1"/>
                <w:color w:val="auto"/>
              </w:rPr>
              <w:t>ECP Award Information</w:t>
            </w: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84"/>
        </w:trPr>
        <w:tc>
          <w:tcPr>
            <w:tcW w:w="1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64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8"/>
              </w:rPr>
              <w:t>ECP Award</w:t>
            </w:r>
          </w:p>
        </w:tc>
        <w:tc>
          <w:tcPr>
            <w:tcW w:w="1300" w:type="dxa"/>
            <w:vAlign w:val="bottom"/>
            <w:tcBorders>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rPr>
              <w:t>ECP Award</w:t>
            </w:r>
          </w:p>
        </w:tc>
        <w:tc>
          <w:tcPr>
            <w:tcW w:w="100" w:type="dxa"/>
            <w:vAlign w:val="bottom"/>
            <w:shd w:val="clear" w:color="auto" w:fill="A6A6A6"/>
          </w:tcPr>
          <w:p>
            <w:pPr>
              <w:spacing w:after="0"/>
              <w:rPr>
                <w:sz w:val="22"/>
                <w:szCs w:val="22"/>
                <w:color w:val="auto"/>
              </w:rPr>
            </w:pPr>
          </w:p>
        </w:tc>
        <w:tc>
          <w:tcPr>
            <w:tcW w:w="1940" w:type="dxa"/>
            <w:vAlign w:val="bottom"/>
            <w:tcBorders>
              <w:right w:val="single" w:sz="8" w:color="auto"/>
            </w:tcBorders>
            <w:gridSpan w:val="2"/>
            <w:shd w:val="clear" w:color="auto" w:fill="A6A6A6"/>
          </w:tcPr>
          <w:p>
            <w:pPr>
              <w:jc w:val="center"/>
              <w:ind w:right="1"/>
              <w:spacing w:after="0"/>
              <w:rPr>
                <w:sz w:val="20"/>
                <w:szCs w:val="20"/>
                <w:color w:val="auto"/>
              </w:rPr>
            </w:pPr>
            <w:r>
              <w:rPr>
                <w:rFonts w:ascii="Arial" w:cs="Arial" w:eastAsia="Arial" w:hAnsi="Arial"/>
                <w:sz w:val="18"/>
                <w:szCs w:val="18"/>
                <w:b w:val="1"/>
                <w:bCs w:val="1"/>
                <w:color w:val="auto"/>
                <w:w w:val="99"/>
              </w:rPr>
              <w:t>Percentage of ECP</w:t>
            </w:r>
          </w:p>
        </w:tc>
        <w:tc>
          <w:tcPr>
            <w:tcW w:w="1840" w:type="dxa"/>
            <w:vAlign w:val="bottom"/>
            <w:shd w:val="clear" w:color="auto" w:fill="A6A6A6"/>
          </w:tcPr>
          <w:p>
            <w:pPr>
              <w:spacing w:after="0"/>
              <w:rPr>
                <w:sz w:val="22"/>
                <w:szCs w:val="22"/>
                <w:color w:val="auto"/>
              </w:rPr>
            </w:pPr>
          </w:p>
        </w:tc>
        <w:tc>
          <w:tcPr>
            <w:tcW w:w="3980" w:type="dxa"/>
            <w:vAlign w:val="bottom"/>
            <w:tcBorders>
              <w:right w:val="single" w:sz="8" w:color="auto"/>
            </w:tcBorders>
            <w:gridSpan w:val="4"/>
            <w:shd w:val="clear" w:color="auto" w:fill="A6A6A6"/>
          </w:tcPr>
          <w:p>
            <w:pPr>
              <w:jc w:val="center"/>
              <w:ind w:right="1820"/>
              <w:spacing w:after="0"/>
              <w:rPr>
                <w:sz w:val="20"/>
                <w:szCs w:val="20"/>
                <w:color w:val="auto"/>
              </w:rPr>
            </w:pPr>
            <w:r>
              <w:rPr>
                <w:rFonts w:ascii="Arial" w:cs="Arial" w:eastAsia="Arial" w:hAnsi="Arial"/>
                <w:sz w:val="18"/>
                <w:szCs w:val="18"/>
                <w:b w:val="1"/>
                <w:bCs w:val="1"/>
                <w:color w:val="auto"/>
                <w:w w:val="98"/>
              </w:rPr>
              <w:t>ECP Award Amount</w:t>
            </w:r>
          </w:p>
        </w:tc>
      </w:tr>
      <w:tr>
        <w:trPr>
          <w:trHeight w:val="257"/>
        </w:trPr>
        <w:tc>
          <w:tcPr>
            <w:tcW w:w="164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Value</w:t>
            </w:r>
          </w:p>
        </w:tc>
        <w:tc>
          <w:tcPr>
            <w:tcW w:w="1300" w:type="dxa"/>
            <w:vAlign w:val="bottom"/>
            <w:tcBorders>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Type</w:t>
            </w:r>
          </w:p>
        </w:tc>
        <w:tc>
          <w:tcPr>
            <w:tcW w:w="100" w:type="dxa"/>
            <w:vAlign w:val="bottom"/>
            <w:shd w:val="clear" w:color="auto" w:fill="A6A6A6"/>
          </w:tcPr>
          <w:p>
            <w:pPr>
              <w:spacing w:after="0"/>
              <w:rPr>
                <w:sz w:val="22"/>
                <w:szCs w:val="22"/>
                <w:color w:val="auto"/>
              </w:rPr>
            </w:pPr>
          </w:p>
        </w:tc>
        <w:tc>
          <w:tcPr>
            <w:tcW w:w="660" w:type="dxa"/>
            <w:vAlign w:val="bottom"/>
            <w:tcBorders>
              <w:right w:val="single" w:sz="8" w:color="A6A6A6"/>
            </w:tcBorders>
            <w:shd w:val="clear" w:color="auto" w:fill="A6A6A6"/>
          </w:tcPr>
          <w:p>
            <w:pPr>
              <w:spacing w:after="0"/>
              <w:rPr>
                <w:sz w:val="22"/>
                <w:szCs w:val="22"/>
                <w:color w:val="auto"/>
              </w:rPr>
            </w:pPr>
          </w:p>
        </w:tc>
        <w:tc>
          <w:tcPr>
            <w:tcW w:w="1280" w:type="dxa"/>
            <w:vAlign w:val="bottom"/>
            <w:tcBorders>
              <w:right w:val="single" w:sz="8" w:color="auto"/>
            </w:tcBorders>
            <w:shd w:val="clear" w:color="auto" w:fill="A6A6A6"/>
          </w:tcPr>
          <w:p>
            <w:pPr>
              <w:jc w:val="center"/>
              <w:ind w:right="641"/>
              <w:spacing w:after="0"/>
              <w:rPr>
                <w:sz w:val="20"/>
                <w:szCs w:val="20"/>
                <w:color w:val="auto"/>
              </w:rPr>
            </w:pPr>
            <w:r>
              <w:rPr>
                <w:rFonts w:ascii="Arial" w:cs="Arial" w:eastAsia="Arial" w:hAnsi="Arial"/>
                <w:sz w:val="18"/>
                <w:szCs w:val="18"/>
                <w:b w:val="1"/>
                <w:bCs w:val="1"/>
                <w:color w:val="auto"/>
                <w:w w:val="98"/>
              </w:rPr>
              <w:t>Award</w:t>
            </w:r>
          </w:p>
        </w:tc>
        <w:tc>
          <w:tcPr>
            <w:tcW w:w="1840" w:type="dxa"/>
            <w:vAlign w:val="bottom"/>
            <w:shd w:val="clear" w:color="auto" w:fill="A6A6A6"/>
          </w:tcPr>
          <w:p>
            <w:pPr>
              <w:spacing w:after="0"/>
              <w:rPr>
                <w:sz w:val="22"/>
                <w:szCs w:val="22"/>
                <w:color w:val="auto"/>
              </w:rPr>
            </w:pPr>
          </w:p>
        </w:tc>
        <w:tc>
          <w:tcPr>
            <w:tcW w:w="440" w:type="dxa"/>
            <w:vAlign w:val="bottom"/>
            <w:tcBorders>
              <w:right w:val="single" w:sz="8" w:color="A6A6A6"/>
            </w:tcBorders>
            <w:shd w:val="clear" w:color="auto" w:fill="A6A6A6"/>
          </w:tcPr>
          <w:p>
            <w:pPr>
              <w:spacing w:after="0"/>
              <w:rPr>
                <w:sz w:val="22"/>
                <w:szCs w:val="22"/>
                <w:color w:val="auto"/>
              </w:rPr>
            </w:pPr>
          </w:p>
        </w:tc>
        <w:tc>
          <w:tcPr>
            <w:tcW w:w="1920" w:type="dxa"/>
            <w:vAlign w:val="bottom"/>
            <w:shd w:val="clear" w:color="auto" w:fill="A6A6A6"/>
          </w:tcPr>
          <w:p>
            <w:pPr>
              <w:spacing w:after="0"/>
              <w:rPr>
                <w:sz w:val="22"/>
                <w:szCs w:val="22"/>
                <w:color w:val="auto"/>
              </w:rPr>
            </w:pPr>
          </w:p>
        </w:tc>
        <w:tc>
          <w:tcPr>
            <w:tcW w:w="500" w:type="dxa"/>
            <w:vAlign w:val="bottom"/>
            <w:shd w:val="clear" w:color="auto" w:fill="A6A6A6"/>
          </w:tcPr>
          <w:p>
            <w:pPr>
              <w:spacing w:after="0"/>
              <w:rPr>
                <w:sz w:val="22"/>
                <w:szCs w:val="22"/>
                <w:color w:val="auto"/>
              </w:rPr>
            </w:pPr>
          </w:p>
        </w:tc>
        <w:tc>
          <w:tcPr>
            <w:tcW w:w="1120" w:type="dxa"/>
            <w:vAlign w:val="bottom"/>
            <w:tcBorders>
              <w:right w:val="single" w:sz="8" w:color="auto"/>
            </w:tcBorders>
            <w:shd w:val="clear" w:color="auto" w:fill="A6A6A6"/>
          </w:tcPr>
          <w:p>
            <w:pPr>
              <w:spacing w:after="0"/>
              <w:rPr>
                <w:sz w:val="22"/>
                <w:szCs w:val="22"/>
                <w:color w:val="auto"/>
              </w:rPr>
            </w:pPr>
          </w:p>
        </w:tc>
      </w:tr>
      <w:tr>
        <w:trPr>
          <w:trHeight w:val="365"/>
        </w:trPr>
        <w:tc>
          <w:tcPr>
            <w:tcW w:w="164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rPr>
              <w:t>($US)</w:t>
            </w:r>
          </w:p>
        </w:tc>
        <w:tc>
          <w:tcPr>
            <w:tcW w:w="1300" w:type="dxa"/>
            <w:vAlign w:val="bottom"/>
            <w:tcBorders>
              <w:right w:val="single" w:sz="8" w:color="auto"/>
            </w:tcBorders>
            <w:shd w:val="clear" w:color="auto" w:fill="A6A6A6"/>
          </w:tcPr>
          <w:p>
            <w:pPr>
              <w:spacing w:after="0"/>
              <w:rPr>
                <w:sz w:val="24"/>
                <w:szCs w:val="24"/>
                <w:color w:val="auto"/>
              </w:rPr>
            </w:pPr>
          </w:p>
        </w:tc>
        <w:tc>
          <w:tcPr>
            <w:tcW w:w="100" w:type="dxa"/>
            <w:vAlign w:val="bottom"/>
            <w:shd w:val="clear" w:color="auto" w:fill="A6A6A6"/>
          </w:tcPr>
          <w:p>
            <w:pPr>
              <w:spacing w:after="0"/>
              <w:rPr>
                <w:sz w:val="24"/>
                <w:szCs w:val="24"/>
                <w:color w:val="auto"/>
              </w:rPr>
            </w:pPr>
          </w:p>
        </w:tc>
        <w:tc>
          <w:tcPr>
            <w:tcW w:w="660" w:type="dxa"/>
            <w:vAlign w:val="bottom"/>
            <w:tcBorders>
              <w:right w:val="single" w:sz="8" w:color="A6A6A6"/>
            </w:tcBorders>
            <w:shd w:val="clear" w:color="auto" w:fill="A6A6A6"/>
          </w:tcPr>
          <w:p>
            <w:pPr>
              <w:spacing w:after="0"/>
              <w:rPr>
                <w:sz w:val="24"/>
                <w:szCs w:val="24"/>
                <w:color w:val="auto"/>
              </w:rPr>
            </w:pPr>
          </w:p>
        </w:tc>
        <w:tc>
          <w:tcPr>
            <w:tcW w:w="1280" w:type="dxa"/>
            <w:vAlign w:val="bottom"/>
            <w:tcBorders>
              <w:right w:val="single" w:sz="8" w:color="auto"/>
            </w:tcBorders>
            <w:shd w:val="clear" w:color="auto" w:fill="A6A6A6"/>
          </w:tcPr>
          <w:p>
            <w:pPr>
              <w:spacing w:after="0"/>
              <w:rPr>
                <w:sz w:val="24"/>
                <w:szCs w:val="24"/>
                <w:color w:val="auto"/>
              </w:rPr>
            </w:pPr>
          </w:p>
        </w:tc>
        <w:tc>
          <w:tcPr>
            <w:tcW w:w="1840" w:type="dxa"/>
            <w:vAlign w:val="bottom"/>
            <w:shd w:val="clear" w:color="auto" w:fill="A6A6A6"/>
          </w:tcPr>
          <w:p>
            <w:pPr>
              <w:spacing w:after="0"/>
              <w:rPr>
                <w:sz w:val="24"/>
                <w:szCs w:val="24"/>
                <w:color w:val="auto"/>
              </w:rPr>
            </w:pPr>
          </w:p>
        </w:tc>
        <w:tc>
          <w:tcPr>
            <w:tcW w:w="440" w:type="dxa"/>
            <w:vAlign w:val="bottom"/>
            <w:tcBorders>
              <w:right w:val="single" w:sz="8" w:color="A6A6A6"/>
            </w:tcBorders>
            <w:shd w:val="clear" w:color="auto" w:fill="A6A6A6"/>
          </w:tcPr>
          <w:p>
            <w:pPr>
              <w:spacing w:after="0"/>
              <w:rPr>
                <w:sz w:val="24"/>
                <w:szCs w:val="24"/>
                <w:color w:val="auto"/>
              </w:rPr>
            </w:pPr>
          </w:p>
        </w:tc>
        <w:tc>
          <w:tcPr>
            <w:tcW w:w="1920" w:type="dxa"/>
            <w:vAlign w:val="bottom"/>
            <w:shd w:val="clear" w:color="auto" w:fill="A6A6A6"/>
          </w:tcPr>
          <w:p>
            <w:pPr>
              <w:spacing w:after="0"/>
              <w:rPr>
                <w:sz w:val="24"/>
                <w:szCs w:val="24"/>
                <w:color w:val="auto"/>
              </w:rPr>
            </w:pPr>
          </w:p>
        </w:tc>
        <w:tc>
          <w:tcPr>
            <w:tcW w:w="500" w:type="dxa"/>
            <w:vAlign w:val="bottom"/>
            <w:shd w:val="clear" w:color="auto" w:fill="A6A6A6"/>
          </w:tcPr>
          <w:p>
            <w:pPr>
              <w:spacing w:after="0"/>
              <w:rPr>
                <w:sz w:val="24"/>
                <w:szCs w:val="24"/>
                <w:color w:val="auto"/>
              </w:rPr>
            </w:pPr>
          </w:p>
        </w:tc>
        <w:tc>
          <w:tcPr>
            <w:tcW w:w="1120" w:type="dxa"/>
            <w:vAlign w:val="bottom"/>
            <w:tcBorders>
              <w:right w:val="single" w:sz="8" w:color="auto"/>
            </w:tcBorders>
            <w:shd w:val="clear" w:color="auto" w:fill="A6A6A6"/>
          </w:tcPr>
          <w:p>
            <w:pPr>
              <w:spacing w:after="0"/>
              <w:rPr>
                <w:sz w:val="24"/>
                <w:szCs w:val="24"/>
                <w:color w:val="auto"/>
              </w:rPr>
            </w:pPr>
          </w:p>
        </w:tc>
      </w:tr>
      <w:tr>
        <w:trPr>
          <w:trHeight w:val="95"/>
        </w:trPr>
        <w:tc>
          <w:tcPr>
            <w:tcW w:w="1640" w:type="dxa"/>
            <w:vAlign w:val="bottom"/>
            <w:tcBorders>
              <w:left w:val="single" w:sz="8" w:color="auto"/>
              <w:bottom w:val="single" w:sz="8" w:color="auto"/>
              <w:right w:val="single" w:sz="8" w:color="auto"/>
            </w:tcBorders>
            <w:shd w:val="clear" w:color="auto" w:fill="A6A6A6"/>
          </w:tcPr>
          <w:p>
            <w:pPr>
              <w:spacing w:after="0"/>
              <w:rPr>
                <w:sz w:val="8"/>
                <w:szCs w:val="8"/>
                <w:color w:val="auto"/>
              </w:rPr>
            </w:pPr>
          </w:p>
        </w:tc>
        <w:tc>
          <w:tcPr>
            <w:tcW w:w="1300" w:type="dxa"/>
            <w:vAlign w:val="bottom"/>
            <w:tcBorders>
              <w:bottom w:val="single" w:sz="8" w:color="auto"/>
              <w:right w:val="single" w:sz="8" w:color="auto"/>
            </w:tcBorders>
            <w:shd w:val="clear" w:color="auto" w:fill="A6A6A6"/>
          </w:tcPr>
          <w:p>
            <w:pPr>
              <w:spacing w:after="0"/>
              <w:rPr>
                <w:sz w:val="8"/>
                <w:szCs w:val="8"/>
                <w:color w:val="auto"/>
              </w:rPr>
            </w:pPr>
          </w:p>
        </w:tc>
        <w:tc>
          <w:tcPr>
            <w:tcW w:w="100" w:type="dxa"/>
            <w:vAlign w:val="bottom"/>
            <w:tcBorders>
              <w:bottom w:val="single" w:sz="8" w:color="auto"/>
            </w:tcBorders>
            <w:shd w:val="clear" w:color="auto" w:fill="A6A6A6"/>
          </w:tcPr>
          <w:p>
            <w:pPr>
              <w:spacing w:after="0"/>
              <w:rPr>
                <w:sz w:val="8"/>
                <w:szCs w:val="8"/>
                <w:color w:val="auto"/>
              </w:rPr>
            </w:pPr>
          </w:p>
        </w:tc>
        <w:tc>
          <w:tcPr>
            <w:tcW w:w="1940" w:type="dxa"/>
            <w:vAlign w:val="bottom"/>
            <w:tcBorders>
              <w:bottom w:val="single" w:sz="8" w:color="auto"/>
              <w:right w:val="single" w:sz="8" w:color="auto"/>
            </w:tcBorders>
            <w:gridSpan w:val="2"/>
            <w:shd w:val="clear" w:color="auto" w:fill="A6A6A6"/>
          </w:tcPr>
          <w:p>
            <w:pPr>
              <w:spacing w:after="0"/>
              <w:rPr>
                <w:sz w:val="8"/>
                <w:szCs w:val="8"/>
                <w:color w:val="auto"/>
              </w:rPr>
            </w:pPr>
          </w:p>
        </w:tc>
        <w:tc>
          <w:tcPr>
            <w:tcW w:w="1840" w:type="dxa"/>
            <w:vAlign w:val="bottom"/>
            <w:tcBorders>
              <w:bottom w:val="single" w:sz="8" w:color="auto"/>
            </w:tcBorders>
            <w:shd w:val="clear" w:color="auto" w:fill="A6A6A6"/>
          </w:tcPr>
          <w:p>
            <w:pPr>
              <w:spacing w:after="0"/>
              <w:rPr>
                <w:sz w:val="8"/>
                <w:szCs w:val="8"/>
                <w:color w:val="auto"/>
              </w:rPr>
            </w:pPr>
          </w:p>
        </w:tc>
        <w:tc>
          <w:tcPr>
            <w:tcW w:w="2360" w:type="dxa"/>
            <w:vAlign w:val="bottom"/>
            <w:tcBorders>
              <w:bottom w:val="single" w:sz="8" w:color="auto"/>
            </w:tcBorders>
            <w:gridSpan w:val="2"/>
            <w:shd w:val="clear" w:color="auto" w:fill="A6A6A6"/>
          </w:tcPr>
          <w:p>
            <w:pPr>
              <w:spacing w:after="0"/>
              <w:rPr>
                <w:sz w:val="8"/>
                <w:szCs w:val="8"/>
                <w:color w:val="auto"/>
              </w:rPr>
            </w:pPr>
          </w:p>
        </w:tc>
        <w:tc>
          <w:tcPr>
            <w:tcW w:w="500" w:type="dxa"/>
            <w:vAlign w:val="bottom"/>
            <w:tcBorders>
              <w:bottom w:val="single" w:sz="8" w:color="auto"/>
            </w:tcBorders>
            <w:shd w:val="clear" w:color="auto" w:fill="A6A6A6"/>
          </w:tcPr>
          <w:p>
            <w:pPr>
              <w:spacing w:after="0"/>
              <w:rPr>
                <w:sz w:val="8"/>
                <w:szCs w:val="8"/>
                <w:color w:val="auto"/>
              </w:rPr>
            </w:pPr>
          </w:p>
        </w:tc>
        <w:tc>
          <w:tcPr>
            <w:tcW w:w="1120" w:type="dxa"/>
            <w:vAlign w:val="bottom"/>
            <w:tcBorders>
              <w:bottom w:val="single" w:sz="8" w:color="auto"/>
              <w:right w:val="single" w:sz="8" w:color="auto"/>
            </w:tcBorders>
            <w:shd w:val="clear" w:color="auto" w:fill="A6A6A6"/>
          </w:tcPr>
          <w:p>
            <w:pPr>
              <w:spacing w:after="0"/>
              <w:rPr>
                <w:sz w:val="8"/>
                <w:szCs w:val="8"/>
                <w:color w:val="auto"/>
              </w:rPr>
            </w:pPr>
          </w:p>
        </w:tc>
      </w:tr>
      <w:tr>
        <w:trPr>
          <w:trHeight w:val="318"/>
        </w:trPr>
        <w:tc>
          <w:tcPr>
            <w:tcW w:w="1640" w:type="dxa"/>
            <w:vAlign w:val="bottom"/>
            <w:tcBorders>
              <w:left w:val="single" w:sz="8" w:color="4F81BD"/>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PRSU*</w:t>
            </w:r>
          </w:p>
        </w:tc>
        <w:tc>
          <w:tcPr>
            <w:tcW w:w="100" w:type="dxa"/>
            <w:vAlign w:val="bottom"/>
          </w:tcPr>
          <w:p>
            <w:pPr>
              <w:spacing w:after="0"/>
              <w:rPr>
                <w:sz w:val="24"/>
                <w:szCs w:val="24"/>
                <w:color w:val="auto"/>
              </w:rPr>
            </w:pPr>
          </w:p>
        </w:tc>
        <w:tc>
          <w:tcPr>
            <w:tcW w:w="1940" w:type="dxa"/>
            <w:vAlign w:val="bottom"/>
            <w:tcBorders>
              <w:right w:val="single" w:sz="8" w:color="auto"/>
            </w:tcBorders>
            <w:gridSpan w:val="2"/>
          </w:tcPr>
          <w:p>
            <w:pPr>
              <w:jc w:val="center"/>
              <w:ind w:right="1"/>
              <w:spacing w:after="0"/>
              <w:rPr>
                <w:sz w:val="20"/>
                <w:szCs w:val="20"/>
                <w:color w:val="auto"/>
              </w:rPr>
            </w:pPr>
            <w:r>
              <w:rPr>
                <w:rFonts w:ascii="Arial" w:cs="Arial" w:eastAsia="Arial" w:hAnsi="Arial"/>
                <w:sz w:val="18"/>
                <w:szCs w:val="18"/>
                <w:color w:val="auto"/>
                <w:w w:val="97"/>
              </w:rPr>
              <w:t>[ _%]</w:t>
            </w:r>
          </w:p>
        </w:tc>
        <w:tc>
          <w:tcPr>
            <w:tcW w:w="1840" w:type="dxa"/>
            <w:vAlign w:val="bottom"/>
          </w:tcPr>
          <w:p>
            <w:pPr>
              <w:spacing w:after="0"/>
              <w:rPr>
                <w:sz w:val="24"/>
                <w:szCs w:val="24"/>
                <w:color w:val="auto"/>
              </w:rPr>
            </w:pPr>
          </w:p>
        </w:tc>
        <w:tc>
          <w:tcPr>
            <w:tcW w:w="3980" w:type="dxa"/>
            <w:vAlign w:val="bottom"/>
            <w:tcBorders>
              <w:right w:val="single" w:sz="8" w:color="4F81BD"/>
            </w:tcBorders>
            <w:gridSpan w:val="4"/>
          </w:tcPr>
          <w:p>
            <w:pPr>
              <w:jc w:val="center"/>
              <w:ind w:right="1760"/>
              <w:spacing w:after="0"/>
              <w:rPr>
                <w:sz w:val="20"/>
                <w:szCs w:val="20"/>
                <w:color w:val="auto"/>
              </w:rPr>
            </w:pPr>
            <w:r>
              <w:rPr>
                <w:rFonts w:ascii="Arial" w:cs="Arial" w:eastAsia="Arial" w:hAnsi="Arial"/>
                <w:sz w:val="18"/>
                <w:szCs w:val="18"/>
                <w:color w:val="auto"/>
              </w:rPr>
              <w:t>[# of Matched PRSU]</w:t>
            </w:r>
          </w:p>
        </w:tc>
      </w:tr>
      <w:tr>
        <w:trPr>
          <w:trHeight w:val="365"/>
        </w:trPr>
        <w:tc>
          <w:tcPr>
            <w:tcW w:w="1640" w:type="dxa"/>
            <w:vAlign w:val="bottom"/>
            <w:tcBorders>
              <w:left w:val="single" w:sz="8" w:color="4F81BD"/>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5820" w:type="dxa"/>
            <w:vAlign w:val="bottom"/>
            <w:tcBorders>
              <w:right w:val="single" w:sz="8" w:color="4F81BD"/>
            </w:tcBorders>
            <w:gridSpan w:val="5"/>
          </w:tcPr>
          <w:p>
            <w:pPr>
              <w:jc w:val="center"/>
              <w:spacing w:after="0"/>
              <w:rPr>
                <w:sz w:val="20"/>
                <w:szCs w:val="20"/>
                <w:color w:val="auto"/>
              </w:rPr>
            </w:pPr>
            <w:r>
              <w:rPr>
                <w:rFonts w:ascii="Arial" w:cs="Arial" w:eastAsia="Arial" w:hAnsi="Arial"/>
                <w:sz w:val="18"/>
                <w:szCs w:val="18"/>
                <w:color w:val="auto"/>
                <w:w w:val="99"/>
              </w:rPr>
              <w:t>Matched PRSUs are assigned an adjustment factor of 120%</w:t>
            </w:r>
          </w:p>
        </w:tc>
      </w:tr>
      <w:tr>
        <w:trPr>
          <w:trHeight w:val="95"/>
        </w:trPr>
        <w:tc>
          <w:tcPr>
            <w:tcW w:w="1640" w:type="dxa"/>
            <w:vAlign w:val="bottom"/>
            <w:tcBorders>
              <w:left w:val="single" w:sz="8" w:color="4F81BD"/>
              <w:bottom w:val="single" w:sz="8" w:color="4F81BD"/>
              <w:right w:val="single" w:sz="8" w:color="auto"/>
            </w:tcBorders>
          </w:tcPr>
          <w:p>
            <w:pPr>
              <w:spacing w:after="0"/>
              <w:rPr>
                <w:sz w:val="8"/>
                <w:szCs w:val="8"/>
                <w:color w:val="auto"/>
              </w:rPr>
            </w:pPr>
          </w:p>
        </w:tc>
        <w:tc>
          <w:tcPr>
            <w:tcW w:w="1300" w:type="dxa"/>
            <w:vAlign w:val="bottom"/>
            <w:tcBorders>
              <w:bottom w:val="single" w:sz="8" w:color="4F81BD"/>
              <w:right w:val="single" w:sz="8" w:color="auto"/>
            </w:tcBorders>
          </w:tcPr>
          <w:p>
            <w:pPr>
              <w:spacing w:after="0"/>
              <w:rPr>
                <w:sz w:val="8"/>
                <w:szCs w:val="8"/>
                <w:color w:val="auto"/>
              </w:rPr>
            </w:pPr>
          </w:p>
        </w:tc>
        <w:tc>
          <w:tcPr>
            <w:tcW w:w="100" w:type="dxa"/>
            <w:vAlign w:val="bottom"/>
            <w:tcBorders>
              <w:bottom w:val="single" w:sz="8" w:color="4F81BD"/>
            </w:tcBorders>
          </w:tcPr>
          <w:p>
            <w:pPr>
              <w:spacing w:after="0"/>
              <w:rPr>
                <w:sz w:val="8"/>
                <w:szCs w:val="8"/>
                <w:color w:val="auto"/>
              </w:rPr>
            </w:pPr>
          </w:p>
        </w:tc>
        <w:tc>
          <w:tcPr>
            <w:tcW w:w="1940" w:type="dxa"/>
            <w:vAlign w:val="bottom"/>
            <w:tcBorders>
              <w:bottom w:val="single" w:sz="8" w:color="4F81BD"/>
              <w:right w:val="single" w:sz="8" w:color="auto"/>
            </w:tcBorders>
            <w:gridSpan w:val="2"/>
          </w:tcPr>
          <w:p>
            <w:pPr>
              <w:spacing w:after="0"/>
              <w:rPr>
                <w:sz w:val="8"/>
                <w:szCs w:val="8"/>
                <w:color w:val="auto"/>
              </w:rPr>
            </w:pPr>
          </w:p>
        </w:tc>
        <w:tc>
          <w:tcPr>
            <w:tcW w:w="1840" w:type="dxa"/>
            <w:vAlign w:val="bottom"/>
            <w:tcBorders>
              <w:bottom w:val="single" w:sz="8" w:color="4F81BD"/>
            </w:tcBorders>
          </w:tcPr>
          <w:p>
            <w:pPr>
              <w:spacing w:after="0"/>
              <w:rPr>
                <w:sz w:val="8"/>
                <w:szCs w:val="8"/>
                <w:color w:val="auto"/>
              </w:rPr>
            </w:pPr>
          </w:p>
        </w:tc>
        <w:tc>
          <w:tcPr>
            <w:tcW w:w="440" w:type="dxa"/>
            <w:vAlign w:val="bottom"/>
            <w:tcBorders>
              <w:bottom w:val="single" w:sz="8" w:color="4F81BD"/>
            </w:tcBorders>
          </w:tcPr>
          <w:p>
            <w:pPr>
              <w:spacing w:after="0"/>
              <w:rPr>
                <w:sz w:val="8"/>
                <w:szCs w:val="8"/>
                <w:color w:val="auto"/>
              </w:rPr>
            </w:pPr>
          </w:p>
        </w:tc>
        <w:tc>
          <w:tcPr>
            <w:tcW w:w="1920" w:type="dxa"/>
            <w:vAlign w:val="bottom"/>
            <w:tcBorders>
              <w:bottom w:val="single" w:sz="8" w:color="4F81BD"/>
            </w:tcBorders>
          </w:tcPr>
          <w:p>
            <w:pPr>
              <w:spacing w:after="0"/>
              <w:rPr>
                <w:sz w:val="8"/>
                <w:szCs w:val="8"/>
                <w:color w:val="auto"/>
              </w:rPr>
            </w:pPr>
          </w:p>
        </w:tc>
        <w:tc>
          <w:tcPr>
            <w:tcW w:w="500" w:type="dxa"/>
            <w:vAlign w:val="bottom"/>
            <w:tcBorders>
              <w:bottom w:val="single" w:sz="8" w:color="4F81BD"/>
            </w:tcBorders>
          </w:tcPr>
          <w:p>
            <w:pPr>
              <w:spacing w:after="0"/>
              <w:rPr>
                <w:sz w:val="8"/>
                <w:szCs w:val="8"/>
                <w:color w:val="auto"/>
              </w:rPr>
            </w:pPr>
          </w:p>
        </w:tc>
        <w:tc>
          <w:tcPr>
            <w:tcW w:w="1120" w:type="dxa"/>
            <w:vAlign w:val="bottom"/>
            <w:tcBorders>
              <w:bottom w:val="single" w:sz="8" w:color="4F81BD"/>
              <w:right w:val="single" w:sz="8" w:color="4F81BD"/>
            </w:tcBorders>
          </w:tcPr>
          <w:p>
            <w:pPr>
              <w:spacing w:after="0"/>
              <w:rPr>
                <w:sz w:val="8"/>
                <w:szCs w:val="8"/>
                <w:color w:val="auto"/>
              </w:rPr>
            </w:pPr>
          </w:p>
        </w:tc>
      </w:tr>
      <w:tr>
        <w:trPr>
          <w:trHeight w:val="318"/>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SSAR*</w:t>
            </w:r>
          </w:p>
        </w:tc>
        <w:tc>
          <w:tcPr>
            <w:tcW w:w="100" w:type="dxa"/>
            <w:vAlign w:val="bottom"/>
          </w:tcPr>
          <w:p>
            <w:pPr>
              <w:spacing w:after="0"/>
              <w:rPr>
                <w:sz w:val="24"/>
                <w:szCs w:val="24"/>
                <w:color w:val="auto"/>
              </w:rPr>
            </w:pPr>
          </w:p>
        </w:tc>
        <w:tc>
          <w:tcPr>
            <w:tcW w:w="1940" w:type="dxa"/>
            <w:vAlign w:val="bottom"/>
            <w:tcBorders>
              <w:right w:val="single" w:sz="8" w:color="auto"/>
            </w:tcBorders>
            <w:gridSpan w:val="2"/>
          </w:tcPr>
          <w:p>
            <w:pPr>
              <w:jc w:val="center"/>
              <w:ind w:right="1"/>
              <w:spacing w:after="0"/>
              <w:rPr>
                <w:sz w:val="20"/>
                <w:szCs w:val="20"/>
                <w:color w:val="auto"/>
              </w:rPr>
            </w:pPr>
            <w:r>
              <w:rPr>
                <w:rFonts w:ascii="Arial" w:cs="Arial" w:eastAsia="Arial" w:hAnsi="Arial"/>
                <w:sz w:val="18"/>
                <w:szCs w:val="18"/>
                <w:color w:val="auto"/>
                <w:w w:val="97"/>
              </w:rPr>
              <w:t>[ _%]</w:t>
            </w: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Borders>
              <w:right w:val="single" w:sz="8" w:color="auto"/>
            </w:tcBorders>
            <w:gridSpan w:val="3"/>
          </w:tcPr>
          <w:p>
            <w:pPr>
              <w:jc w:val="center"/>
              <w:ind w:right="2200"/>
              <w:spacing w:after="0"/>
              <w:rPr>
                <w:sz w:val="20"/>
                <w:szCs w:val="20"/>
                <w:color w:val="auto"/>
              </w:rPr>
            </w:pPr>
            <w:r>
              <w:rPr>
                <w:rFonts w:ascii="Arial" w:cs="Arial" w:eastAsia="Arial" w:hAnsi="Arial"/>
                <w:sz w:val="18"/>
                <w:szCs w:val="18"/>
                <w:color w:val="auto"/>
                <w:w w:val="99"/>
              </w:rPr>
              <w:t>[ __ SSARs]</w:t>
            </w:r>
          </w:p>
        </w:tc>
      </w:tr>
      <w:tr>
        <w:trPr>
          <w:trHeight w:val="350"/>
        </w:trPr>
        <w:tc>
          <w:tcPr>
            <w:tcW w:w="164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color w:val="auto"/>
              </w:rPr>
              <w:t>Number of SSARs granted is based on 4.5 times the elected SSAR</w:t>
            </w: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5820" w:type="dxa"/>
            <w:vAlign w:val="bottom"/>
            <w:tcBorders>
              <w:right w:val="single" w:sz="8" w:color="auto"/>
            </w:tcBorders>
            <w:gridSpan w:val="5"/>
          </w:tcPr>
          <w:p>
            <w:pPr>
              <w:jc w:val="center"/>
              <w:spacing w:after="0" w:line="202" w:lineRule="exact"/>
              <w:rPr>
                <w:sz w:val="20"/>
                <w:szCs w:val="20"/>
                <w:color w:val="auto"/>
              </w:rPr>
            </w:pPr>
            <w:r>
              <w:rPr>
                <w:rFonts w:ascii="Arial" w:cs="Arial" w:eastAsia="Arial" w:hAnsi="Arial"/>
                <w:sz w:val="18"/>
                <w:szCs w:val="18"/>
                <w:color w:val="auto"/>
                <w:w w:val="99"/>
              </w:rPr>
              <w:t>award value divided by the Fair Market Value* of a Share on the</w:t>
            </w:r>
          </w:p>
        </w:tc>
      </w:tr>
      <w:tr>
        <w:trPr>
          <w:trHeight w:val="217"/>
        </w:trPr>
        <w:tc>
          <w:tcPr>
            <w:tcW w:w="16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40" w:type="dxa"/>
            <w:vAlign w:val="bottom"/>
            <w:tcBorders>
              <w:right w:val="single" w:sz="8" w:color="auto"/>
            </w:tcBorders>
            <w:gridSpan w:val="3"/>
          </w:tcPr>
          <w:p>
            <w:pPr>
              <w:jc w:val="center"/>
              <w:ind w:right="2200"/>
              <w:spacing w:after="0"/>
              <w:rPr>
                <w:sz w:val="20"/>
                <w:szCs w:val="20"/>
                <w:color w:val="auto"/>
              </w:rPr>
            </w:pPr>
            <w:r>
              <w:rPr>
                <w:rFonts w:ascii="Arial" w:cs="Arial" w:eastAsia="Arial" w:hAnsi="Arial"/>
                <w:sz w:val="18"/>
                <w:szCs w:val="18"/>
                <w:color w:val="auto"/>
              </w:rPr>
              <w:t>Grant Date.</w:t>
            </w:r>
          </w:p>
        </w:tc>
      </w:tr>
      <w:tr>
        <w:trPr>
          <w:trHeight w:val="95"/>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940" w:type="dxa"/>
            <w:vAlign w:val="bottom"/>
            <w:tcBorders>
              <w:bottom w:val="single" w:sz="8" w:color="auto"/>
              <w:right w:val="single" w:sz="8" w:color="auto"/>
            </w:tcBorders>
            <w:gridSpan w:val="2"/>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r>
      <w:tr>
        <w:trPr>
          <w:trHeight w:val="291"/>
        </w:trPr>
        <w:tc>
          <w:tcPr>
            <w:tcW w:w="1640" w:type="dxa"/>
            <w:vAlign w:val="bottom"/>
            <w:tcBorders>
              <w:left w:val="single" w:sz="8" w:color="4F81BD"/>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RSU*</w:t>
            </w:r>
          </w:p>
        </w:tc>
        <w:tc>
          <w:tcPr>
            <w:tcW w:w="100" w:type="dxa"/>
            <w:vAlign w:val="bottom"/>
          </w:tcPr>
          <w:p>
            <w:pPr>
              <w:spacing w:after="0"/>
              <w:rPr>
                <w:sz w:val="24"/>
                <w:szCs w:val="24"/>
                <w:color w:val="auto"/>
              </w:rPr>
            </w:pPr>
          </w:p>
        </w:tc>
        <w:tc>
          <w:tcPr>
            <w:tcW w:w="1940" w:type="dxa"/>
            <w:vAlign w:val="bottom"/>
            <w:tcBorders>
              <w:right w:val="single" w:sz="8" w:color="auto"/>
            </w:tcBorders>
            <w:gridSpan w:val="2"/>
          </w:tcPr>
          <w:p>
            <w:pPr>
              <w:jc w:val="center"/>
              <w:ind w:right="1"/>
              <w:spacing w:after="0"/>
              <w:rPr>
                <w:sz w:val="20"/>
                <w:szCs w:val="20"/>
                <w:color w:val="auto"/>
              </w:rPr>
            </w:pPr>
            <w:r>
              <w:rPr>
                <w:rFonts w:ascii="Arial" w:cs="Arial" w:eastAsia="Arial" w:hAnsi="Arial"/>
                <w:sz w:val="18"/>
                <w:szCs w:val="18"/>
                <w:color w:val="auto"/>
                <w:w w:val="97"/>
              </w:rPr>
              <w:t>[ _%]</w:t>
            </w: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Borders>
              <w:right w:val="single" w:sz="8" w:color="4F81BD"/>
            </w:tcBorders>
            <w:gridSpan w:val="3"/>
          </w:tcPr>
          <w:p>
            <w:pPr>
              <w:jc w:val="center"/>
              <w:ind w:right="2260"/>
              <w:spacing w:after="0"/>
              <w:rPr>
                <w:sz w:val="20"/>
                <w:szCs w:val="20"/>
                <w:color w:val="auto"/>
              </w:rPr>
            </w:pPr>
            <w:r>
              <w:rPr>
                <w:rFonts w:ascii="Arial" w:cs="Arial" w:eastAsia="Arial" w:hAnsi="Arial"/>
                <w:sz w:val="18"/>
                <w:szCs w:val="18"/>
                <w:color w:val="auto"/>
              </w:rPr>
              <w:t>[ __ RSUs]</w:t>
            </w:r>
          </w:p>
        </w:tc>
      </w:tr>
      <w:tr>
        <w:trPr>
          <w:trHeight w:val="149"/>
        </w:trPr>
        <w:tc>
          <w:tcPr>
            <w:tcW w:w="1640" w:type="dxa"/>
            <w:vAlign w:val="bottom"/>
            <w:tcBorders>
              <w:left w:val="single" w:sz="8" w:color="4F81BD"/>
              <w:bottom w:val="single" w:sz="8" w:color="4F81BD"/>
              <w:right w:val="single" w:sz="8" w:color="auto"/>
            </w:tcBorders>
          </w:tcPr>
          <w:p>
            <w:pPr>
              <w:spacing w:after="0"/>
              <w:rPr>
                <w:sz w:val="12"/>
                <w:szCs w:val="12"/>
                <w:color w:val="auto"/>
              </w:rPr>
            </w:pPr>
          </w:p>
        </w:tc>
        <w:tc>
          <w:tcPr>
            <w:tcW w:w="1300" w:type="dxa"/>
            <w:vAlign w:val="bottom"/>
            <w:tcBorders>
              <w:bottom w:val="single" w:sz="8" w:color="4F81BD"/>
              <w:right w:val="single" w:sz="8" w:color="auto"/>
            </w:tcBorders>
          </w:tcPr>
          <w:p>
            <w:pPr>
              <w:spacing w:after="0"/>
              <w:rPr>
                <w:sz w:val="12"/>
                <w:szCs w:val="12"/>
                <w:color w:val="auto"/>
              </w:rPr>
            </w:pPr>
          </w:p>
        </w:tc>
        <w:tc>
          <w:tcPr>
            <w:tcW w:w="100" w:type="dxa"/>
            <w:vAlign w:val="bottom"/>
            <w:tcBorders>
              <w:bottom w:val="single" w:sz="8" w:color="4F81BD"/>
            </w:tcBorders>
          </w:tcPr>
          <w:p>
            <w:pPr>
              <w:spacing w:after="0"/>
              <w:rPr>
                <w:sz w:val="12"/>
                <w:szCs w:val="12"/>
                <w:color w:val="auto"/>
              </w:rPr>
            </w:pPr>
          </w:p>
        </w:tc>
        <w:tc>
          <w:tcPr>
            <w:tcW w:w="660" w:type="dxa"/>
            <w:vAlign w:val="bottom"/>
            <w:tcBorders>
              <w:bottom w:val="single" w:sz="8" w:color="4F81BD"/>
            </w:tcBorders>
          </w:tcPr>
          <w:p>
            <w:pPr>
              <w:spacing w:after="0"/>
              <w:rPr>
                <w:sz w:val="12"/>
                <w:szCs w:val="12"/>
                <w:color w:val="auto"/>
              </w:rPr>
            </w:pPr>
          </w:p>
        </w:tc>
        <w:tc>
          <w:tcPr>
            <w:tcW w:w="1280" w:type="dxa"/>
            <w:vAlign w:val="bottom"/>
            <w:tcBorders>
              <w:bottom w:val="single" w:sz="8" w:color="4F81BD"/>
              <w:right w:val="single" w:sz="8" w:color="auto"/>
            </w:tcBorders>
          </w:tcPr>
          <w:p>
            <w:pPr>
              <w:spacing w:after="0"/>
              <w:rPr>
                <w:sz w:val="12"/>
                <w:szCs w:val="12"/>
                <w:color w:val="auto"/>
              </w:rPr>
            </w:pPr>
          </w:p>
        </w:tc>
        <w:tc>
          <w:tcPr>
            <w:tcW w:w="1840" w:type="dxa"/>
            <w:vAlign w:val="bottom"/>
            <w:tcBorders>
              <w:bottom w:val="single" w:sz="8" w:color="4F81BD"/>
            </w:tcBorders>
          </w:tcPr>
          <w:p>
            <w:pPr>
              <w:spacing w:after="0"/>
              <w:rPr>
                <w:sz w:val="12"/>
                <w:szCs w:val="12"/>
                <w:color w:val="auto"/>
              </w:rPr>
            </w:pPr>
          </w:p>
        </w:tc>
        <w:tc>
          <w:tcPr>
            <w:tcW w:w="440" w:type="dxa"/>
            <w:vAlign w:val="bottom"/>
            <w:tcBorders>
              <w:bottom w:val="single" w:sz="8" w:color="4F81BD"/>
            </w:tcBorders>
          </w:tcPr>
          <w:p>
            <w:pPr>
              <w:spacing w:after="0"/>
              <w:rPr>
                <w:sz w:val="12"/>
                <w:szCs w:val="12"/>
                <w:color w:val="auto"/>
              </w:rPr>
            </w:pPr>
          </w:p>
        </w:tc>
        <w:tc>
          <w:tcPr>
            <w:tcW w:w="1920" w:type="dxa"/>
            <w:vAlign w:val="bottom"/>
            <w:tcBorders>
              <w:bottom w:val="single" w:sz="8" w:color="4F81BD"/>
            </w:tcBorders>
          </w:tcPr>
          <w:p>
            <w:pPr>
              <w:spacing w:after="0"/>
              <w:rPr>
                <w:sz w:val="12"/>
                <w:szCs w:val="12"/>
                <w:color w:val="auto"/>
              </w:rPr>
            </w:pPr>
          </w:p>
        </w:tc>
        <w:tc>
          <w:tcPr>
            <w:tcW w:w="500" w:type="dxa"/>
            <w:vAlign w:val="bottom"/>
            <w:tcBorders>
              <w:bottom w:val="single" w:sz="8" w:color="4F81BD"/>
            </w:tcBorders>
          </w:tcPr>
          <w:p>
            <w:pPr>
              <w:spacing w:after="0"/>
              <w:rPr>
                <w:sz w:val="12"/>
                <w:szCs w:val="12"/>
                <w:color w:val="auto"/>
              </w:rPr>
            </w:pPr>
          </w:p>
        </w:tc>
        <w:tc>
          <w:tcPr>
            <w:tcW w:w="1120" w:type="dxa"/>
            <w:vAlign w:val="bottom"/>
            <w:tcBorders>
              <w:bottom w:val="single" w:sz="8" w:color="4F81BD"/>
              <w:right w:val="single" w:sz="8" w:color="4F81BD"/>
            </w:tcBorders>
          </w:tcPr>
          <w:p>
            <w:pPr>
              <w:spacing w:after="0"/>
              <w:rPr>
                <w:sz w:val="12"/>
                <w:szCs w:val="12"/>
                <w:color w:val="auto"/>
              </w:rPr>
            </w:pPr>
          </w:p>
        </w:tc>
      </w:tr>
    </w:tbl>
    <w:p>
      <w:pPr>
        <w:spacing w:after="0" w:line="77"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*Each, as defined in, and subject to, the attached ECP Terms and Conditions and the terms of the Plan. Each ECP Award type elected represents a separate grant under the Plan.</w:t>
      </w:r>
    </w:p>
    <w:p>
      <w:pPr>
        <w:spacing w:after="0" w:line="1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color w:val="auto"/>
        </w:rPr>
        <w:t>BY ELECTRONICALLY ACCEPTING THIS ECP AWARD, PARTICIPANT AGREES TO BE BOUND BY THE PROVISIONS OF THE PLAN, THIS ECP AWARD AGREEMENT AND THE ECP TERMS AND CONDITIONS. THE PARTICIPANT HAS REVIEWED THE PLAN, THE ECP AWARD AGREEMENT AND THE ECP TERMS AND CONDITIONS IN THEIR ENTIRETY, HAS HAD AN OPPORTUNITY TO OBTAIN THE ADVICE OF COUNSEL PRIOR TO ACCEPTING THE ECP AWARD AND FULLY UNDERSTANDS ALL OF THE PROVISIONS OF THE PLAN, THIS ECP AWARD AGREEMENT AND THE ECP TERMS AND CONDITIONS. THE PARTICIPANT HAS BEEN PROVIDED WITH A COPY OR ELECTRONIC ACCESS TO</w:t>
      </w:r>
    </w:p>
    <w:p>
      <w:pPr>
        <w:sectPr>
          <w:pgSz w:w="11900" w:h="16838" w:orient="portrait"/>
          <w:cols w:equalWidth="0" w:num="1">
            <w:col w:w="11440"/>
          </w:cols>
          <w:pgMar w:left="240" w:top="135" w:right="21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18"/>
          <w:szCs w:val="18"/>
          <w:b w:val="1"/>
          <w:bCs w:val="1"/>
          <w:color w:val="auto"/>
        </w:rPr>
        <w:t>A COPY OF THE U.S. PROSPECTUS FOR THE PLAN AND THE TAX SUPPLEMENT TO THE U.S. PROSPECTUS FOR PARTICIPANT'S COUNTRY OF EMPLOYMENT. PARTICIPANT HEREBY AGREES TO ACCEPT AS BINDING, CONCLUSIVE AND FINAL ALL DECISIONS OR INTERPRETATIONS OF THE COMMITTEE ARISING UNDER THE PLAN, THE ECP AWARD AGREEMENT OR THE ECP TERMS AND CONDITIONS.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 ] I ACCEPT</w:t>
      </w:r>
    </w:p>
    <w:p>
      <w:pPr>
        <w:sectPr>
          <w:pgSz w:w="11900" w:h="16838" w:orient="portrait"/>
          <w:cols w:equalWidth="0" w:num="1">
            <w:col w:w="11420"/>
          </w:cols>
          <w:pgMar w:left="240" w:top="954" w:right="239" w:bottom="1440" w:gutter="0" w:footer="0" w:header="0"/>
        </w:sectPr>
      </w:pPr>
    </w:p>
    <w:bookmarkStart w:id="38" w:name="page39"/>
    <w:bookmarkEnd w:id="38"/>
    <w:p>
      <w:pPr>
        <w:jc w:val="center"/>
        <w:spacing w:after="0" w:line="258" w:lineRule="auto"/>
        <w:rPr>
          <w:sz w:val="20"/>
          <w:szCs w:val="20"/>
          <w:color w:val="auto"/>
        </w:rPr>
      </w:pPr>
      <w:r>
        <w:rPr>
          <w:rFonts w:ascii="Arial" w:cs="Arial" w:eastAsia="Arial" w:hAnsi="Arial"/>
          <w:sz w:val="22"/>
          <w:szCs w:val="22"/>
          <w:b w:val="1"/>
          <w:bCs w:val="1"/>
          <w:color w:val="auto"/>
        </w:rPr>
        <w:t>INTERNATIONAL FLAVORS &amp; FRAGRANCES INC. EQUITY CHOICE PROGRAM AWARD AGREEMENT TERMS AND CONDITIONS (the “</w:t>
      </w:r>
      <w:r>
        <w:rPr>
          <w:rFonts w:ascii="Arial" w:cs="Arial" w:eastAsia="Arial" w:hAnsi="Arial"/>
          <w:sz w:val="22"/>
          <w:szCs w:val="22"/>
          <w:b w:val="1"/>
          <w:bCs w:val="1"/>
          <w:u w:val="single" w:color="auto"/>
          <w:color w:val="auto"/>
        </w:rPr>
        <w:t>ECP TERMS AND CONDITIONS</w:t>
      </w:r>
      <w:r>
        <w:rPr>
          <w:rFonts w:ascii="Arial" w:cs="Arial" w:eastAsia="Arial" w:hAnsi="Arial"/>
          <w:sz w:val="22"/>
          <w:szCs w:val="22"/>
          <w:b w:val="1"/>
          <w:bCs w:val="1"/>
          <w:color w:val="auto"/>
        </w:rPr>
        <w:t>”)</w:t>
      </w:r>
    </w:p>
    <w:p>
      <w:pPr>
        <w:spacing w:after="0" w:line="211" w:lineRule="exact"/>
        <w:rPr>
          <w:sz w:val="20"/>
          <w:szCs w:val="20"/>
          <w:color w:val="auto"/>
        </w:rPr>
      </w:pPr>
    </w:p>
    <w:p>
      <w:pPr>
        <w:spacing w:after="0" w:line="274" w:lineRule="auto"/>
        <w:rPr>
          <w:sz w:val="20"/>
          <w:szCs w:val="20"/>
          <w:color w:val="auto"/>
        </w:rPr>
      </w:pPr>
      <w:r>
        <w:rPr>
          <w:rFonts w:ascii="Arial" w:cs="Arial" w:eastAsia="Arial" w:hAnsi="Arial"/>
          <w:sz w:val="22"/>
          <w:szCs w:val="22"/>
          <w:color w:val="auto"/>
        </w:rPr>
        <w:t>These ECP Terms and Conditions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ECP Award Agreement made under the Plan, which is hereby incorporated by reference.</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ECP Terms and Conditions and the Plan, the provisions of the Plan shall govern.</w:t>
      </w:r>
    </w:p>
    <w:p>
      <w:pPr>
        <w:spacing w:after="0" w:line="196" w:lineRule="exact"/>
        <w:rPr>
          <w:sz w:val="20"/>
          <w:szCs w:val="20"/>
          <w:color w:val="auto"/>
        </w:rPr>
      </w:pPr>
    </w:p>
    <w:p>
      <w:pPr>
        <w:ind w:left="660" w:hanging="328"/>
        <w:spacing w:after="0" w:line="274"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Amount of ECP Award</w:t>
      </w:r>
      <w:r>
        <w:rPr>
          <w:rFonts w:ascii="Arial" w:cs="Arial" w:eastAsia="Arial" w:hAnsi="Arial"/>
          <w:sz w:val="22"/>
          <w:szCs w:val="22"/>
          <w:color w:val="auto"/>
        </w:rPr>
        <w:t>. As of the Grant Date, the Participant shall be eligible to receive an ECP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forms and amounts set forth on the first page of the ECP Award Agreement.</w:t>
      </w:r>
    </w:p>
    <w:p>
      <w:pPr>
        <w:spacing w:after="0" w:line="192"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ECP Award shall be at the discretion of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Eligibility for an ECP Award in one period does not guarantee eligibility for an ECP Award in a later period.</w:t>
      </w:r>
    </w:p>
    <w:p>
      <w:pPr>
        <w:spacing w:after="0" w:line="192"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Vesting of Award. </w:t>
      </w:r>
      <w:r>
        <w:rPr>
          <w:rFonts w:ascii="Arial" w:cs="Arial" w:eastAsia="Arial" w:hAnsi="Arial"/>
          <w:sz w:val="22"/>
          <w:szCs w:val="22"/>
          <w:color w:val="auto"/>
        </w:rPr>
        <w:t>The ECP Award vests on the date set forth on the first page of the ECP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u w:val="single" w:color="auto"/>
          <w:color w:val="auto"/>
        </w:rPr>
        <w:t>ECP Vesting Date</w:t>
      </w:r>
      <w:r>
        <w:rPr>
          <w:rFonts w:ascii="Arial" w:cs="Arial" w:eastAsia="Arial" w:hAnsi="Arial"/>
          <w:sz w:val="22"/>
          <w:szCs w:val="22"/>
          <w:color w:val="auto"/>
        </w:rPr>
        <w:t>”) if not previously forfeited, and is 0% vested before expiration of this period.</w:t>
      </w:r>
    </w:p>
    <w:p>
      <w:pPr>
        <w:spacing w:after="0" w:line="192"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ECP Award Allocations</w:t>
      </w:r>
      <w:r>
        <w:rPr>
          <w:rFonts w:ascii="Arial" w:cs="Arial" w:eastAsia="Arial" w:hAnsi="Arial"/>
          <w:sz w:val="22"/>
          <w:szCs w:val="22"/>
          <w:color w:val="auto"/>
        </w:rPr>
        <w:t>. Participants may elect to allocate their total ECP Award between three types of ECP</w:t>
      </w:r>
      <w:r>
        <w:rPr>
          <w:rFonts w:ascii="Arial" w:cs="Arial" w:eastAsia="Arial" w:hAnsi="Arial"/>
          <w:sz w:val="22"/>
          <w:szCs w:val="22"/>
          <w:b w:val="1"/>
          <w:bCs w:val="1"/>
          <w:color w:val="auto"/>
        </w:rPr>
        <w:t xml:space="preserve"> </w:t>
      </w:r>
      <w:r>
        <w:rPr>
          <w:rFonts w:ascii="Arial" w:cs="Arial" w:eastAsia="Arial" w:hAnsi="Arial"/>
          <w:sz w:val="22"/>
          <w:szCs w:val="22"/>
          <w:color w:val="auto"/>
        </w:rPr>
        <w:t>Award grants in 5% increments: (i) PRSUs (as defined below) (ii) Stock-Settled Appreciation Rights (“</w:t>
      </w:r>
      <w:r>
        <w:rPr>
          <w:rFonts w:ascii="Arial" w:cs="Arial" w:eastAsia="Arial" w:hAnsi="Arial"/>
          <w:sz w:val="22"/>
          <w:szCs w:val="22"/>
          <w:b w:val="1"/>
          <w:bCs w:val="1"/>
          <w:u w:val="single" w:color="auto"/>
          <w:color w:val="auto"/>
        </w:rPr>
        <w:t>SSARs</w:t>
      </w:r>
      <w:r>
        <w:rPr>
          <w:rFonts w:ascii="Arial" w:cs="Arial" w:eastAsia="Arial" w:hAnsi="Arial"/>
          <w:sz w:val="22"/>
          <w:szCs w:val="22"/>
          <w:color w:val="auto"/>
        </w:rPr>
        <w:t>”), and (iii) Restricted Stock Units (“</w:t>
      </w:r>
      <w:r>
        <w:rPr>
          <w:rFonts w:ascii="Arial" w:cs="Arial" w:eastAsia="Arial" w:hAnsi="Arial"/>
          <w:sz w:val="22"/>
          <w:szCs w:val="22"/>
          <w:b w:val="1"/>
          <w:bCs w:val="1"/>
          <w:u w:val="single" w:color="auto"/>
          <w:color w:val="auto"/>
        </w:rPr>
        <w:t>RSUs</w:t>
      </w:r>
      <w:r>
        <w:rPr>
          <w:rFonts w:ascii="Arial" w:cs="Arial" w:eastAsia="Arial" w:hAnsi="Arial"/>
          <w:sz w:val="22"/>
          <w:szCs w:val="22"/>
          <w:color w:val="auto"/>
        </w:rPr>
        <w:t>”). If a Participant does not elect an ECP Award type within the time period specified by the Committee, 100% of the ECP Award will be allocated to RSUs by default or such other default selection specified by the Committee.</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Purchased Shares and Matching Restricted Stock Units</w:t>
      </w:r>
      <w:r>
        <w:rPr>
          <w:rFonts w:ascii="Arial" w:cs="Arial" w:eastAsia="Arial" w:hAnsi="Arial"/>
          <w:sz w:val="22"/>
          <w:szCs w:val="22"/>
          <w:color w:val="auto"/>
        </w:rPr>
        <w:t>.</w:t>
      </w:r>
    </w:p>
    <w:p>
      <w:pPr>
        <w:spacing w:after="0" w:line="29" w:lineRule="exact"/>
        <w:rPr>
          <w:rFonts w:ascii="Arial" w:cs="Arial" w:eastAsia="Arial" w:hAnsi="Arial"/>
          <w:sz w:val="22"/>
          <w:szCs w:val="22"/>
          <w:color w:val="auto"/>
        </w:rPr>
      </w:pPr>
    </w:p>
    <w:p>
      <w:pPr>
        <w:jc w:val="both"/>
        <w:ind w:left="1300" w:hanging="428"/>
        <w:spacing w:after="0" w:line="244"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2"/>
          <w:szCs w:val="22"/>
          <w:u w:val="single" w:color="auto"/>
          <w:color w:val="auto"/>
        </w:rPr>
        <w:t>Adjusted ECP Award Value</w:t>
      </w:r>
      <w:r>
        <w:rPr>
          <w:rFonts w:ascii="Arial" w:cs="Arial" w:eastAsia="Arial" w:hAnsi="Arial"/>
          <w:sz w:val="22"/>
          <w:szCs w:val="22"/>
          <w:color w:val="auto"/>
          <w:highlight w:val="white"/>
        </w:rPr>
        <w:t>. As used herein, the term “</w:t>
      </w:r>
      <w:r>
        <w:rPr>
          <w:rFonts w:ascii="Arial" w:cs="Arial" w:eastAsia="Arial" w:hAnsi="Arial"/>
          <w:sz w:val="22"/>
          <w:szCs w:val="22"/>
          <w:b w:val="1"/>
          <w:bCs w:val="1"/>
          <w:u w:val="single" w:color="auto"/>
          <w:color w:val="auto"/>
          <w:highlight w:val="white"/>
        </w:rPr>
        <w:t>PRSU</w:t>
      </w:r>
      <w:r>
        <w:rPr>
          <w:rFonts w:ascii="Arial" w:cs="Arial" w:eastAsia="Arial" w:hAnsi="Arial"/>
          <w:sz w:val="22"/>
          <w:szCs w:val="22"/>
          <w:color w:val="auto"/>
          <w:highlight w:val="white"/>
        </w:rPr>
        <w:t>” shall mean RSUs granted by the Company</w:t>
      </w:r>
      <w:r>
        <w:rPr>
          <w:rFonts w:ascii="Arial" w:cs="Arial" w:eastAsia="Arial" w:hAnsi="Arial"/>
          <w:sz w:val="22"/>
          <w:szCs w:val="22"/>
          <w:color w:val="auto"/>
        </w:rPr>
        <w:t xml:space="preserve"> under Section 7 of the Plan. There is a 20% adjustment upward of the ECP Award value for any allocation of the ECP Award elected in PRSUs (the “</w:t>
      </w:r>
      <w:r>
        <w:rPr>
          <w:rFonts w:ascii="Arial" w:cs="Arial" w:eastAsia="Arial" w:hAnsi="Arial"/>
          <w:sz w:val="22"/>
          <w:szCs w:val="22"/>
          <w:b w:val="1"/>
          <w:bCs w:val="1"/>
          <w:u w:val="single" w:color="auto"/>
          <w:color w:val="auto"/>
        </w:rPr>
        <w:t>Adjusted ECP Award Value</w:t>
      </w:r>
      <w:r>
        <w:rPr>
          <w:rFonts w:ascii="Arial" w:cs="Arial" w:eastAsia="Arial" w:hAnsi="Arial"/>
          <w:sz w:val="22"/>
          <w:szCs w:val="22"/>
          <w:color w:val="auto"/>
        </w:rPr>
        <w:t>”). For example, if a Participant elects to receive $100 of his or her ECP in PRSUs, the Participant will be required to tender Shares, or a combination of cash and Shares, with a fair value of $120 as of the Grant Date and will receive a corresponding match in the form of PRSUs from the Company with a Grant Date fair value of $120.</w:t>
      </w:r>
    </w:p>
    <w:p>
      <w:pPr>
        <w:spacing w:after="0" w:line="252" w:lineRule="exact"/>
        <w:rPr>
          <w:rFonts w:ascii="Arial" w:cs="Arial" w:eastAsia="Arial" w:hAnsi="Arial"/>
          <w:sz w:val="20"/>
          <w:szCs w:val="20"/>
          <w:color w:val="auto"/>
        </w:rPr>
      </w:pPr>
    </w:p>
    <w:p>
      <w:pPr>
        <w:ind w:left="2220" w:hanging="591"/>
        <w:spacing w:after="0" w:line="244" w:lineRule="auto"/>
        <w:tabs>
          <w:tab w:leader="none" w:pos="1824" w:val="left"/>
        </w:tabs>
        <w:numPr>
          <w:ilvl w:val="2"/>
          <w:numId w:val="22"/>
        </w:numPr>
        <w:rPr>
          <w:rFonts w:ascii="Arial" w:cs="Arial" w:eastAsia="Arial" w:hAnsi="Arial"/>
          <w:sz w:val="20"/>
          <w:szCs w:val="20"/>
          <w:color w:val="auto"/>
        </w:rPr>
      </w:pPr>
      <w:r>
        <w:rPr>
          <w:rFonts w:ascii="Arial" w:cs="Arial" w:eastAsia="Arial" w:hAnsi="Arial"/>
          <w:sz w:val="22"/>
          <w:szCs w:val="22"/>
          <w:color w:val="auto"/>
        </w:rPr>
        <w:t>If a Participant chooses PRSUs on or prior to the date specified by the Company, he or she must (x) deliver funds to the Company, equal to the dollar amount of all or a portion of the Adjusted ECP Award Value, which funds will be used to purchase Shares equivalent to that portion of the Adjusted ECP Award Value for which the Participant chooses to deliver funds and/or (y) tender a sufficient number of Shares to be held in an account designated by the Company, with a value equal to any portion of the Adjusted ECP Award Value which is not covered by the delivery of funds pursuant to (x), calculated based on the Fair</w:t>
      </w:r>
    </w:p>
    <w:p>
      <w:pPr>
        <w:sectPr>
          <w:pgSz w:w="11900" w:h="16838" w:orient="portrait"/>
          <w:cols w:equalWidth="0" w:num="1">
            <w:col w:w="11420"/>
          </w:cols>
          <w:pgMar w:left="240" w:top="1106" w:right="239" w:bottom="1440" w:gutter="0" w:footer="0" w:header="0"/>
        </w:sectPr>
      </w:pPr>
    </w:p>
    <w:bookmarkStart w:id="39" w:name="page40"/>
    <w:bookmarkEnd w:id="39"/>
    <w:p>
      <w:pPr>
        <w:ind w:left="1088" w:right="20"/>
        <w:spacing w:after="0" w:line="249" w:lineRule="auto"/>
        <w:rPr>
          <w:sz w:val="20"/>
          <w:szCs w:val="20"/>
          <w:color w:val="auto"/>
        </w:rPr>
      </w:pPr>
      <w:r>
        <w:rPr>
          <w:rFonts w:ascii="Arial" w:cs="Arial" w:eastAsia="Arial" w:hAnsi="Arial"/>
          <w:sz w:val="22"/>
          <w:szCs w:val="22"/>
          <w:color w:val="auto"/>
        </w:rPr>
        <w:t>Market Value of a Share on the Grant Date (the Shares described in (x) or (y), the “</w:t>
      </w:r>
      <w:r>
        <w:rPr>
          <w:rFonts w:ascii="Arial" w:cs="Arial" w:eastAsia="Arial" w:hAnsi="Arial"/>
          <w:sz w:val="22"/>
          <w:szCs w:val="22"/>
          <w:b w:val="1"/>
          <w:bCs w:val="1"/>
          <w:u w:val="single" w:color="auto"/>
          <w:color w:val="auto"/>
        </w:rPr>
        <w:t>Purchased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Shares</w:t>
      </w:r>
      <w:r>
        <w:rPr>
          <w:rFonts w:ascii="Arial" w:cs="Arial" w:eastAsia="Arial" w:hAnsi="Arial"/>
          <w:sz w:val="22"/>
          <w:szCs w:val="22"/>
          <w:color w:val="auto"/>
          <w:highlight w:val="white"/>
        </w:rPr>
        <w:t>”). Shares held in a qualified 401(k) plan or in a nonqualified deferred stock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eligible for purposes of this Section 5. Upon receipt of the funds and/or tender Shares, the Company will grant to Participant a matching grant of a number of PRSUs, with a value on the Grant Date equal to the Fair Market Value of the Purchased Shares on the Grant Date (the “</w:t>
      </w:r>
      <w:r>
        <w:rPr>
          <w:rFonts w:ascii="Arial" w:cs="Arial" w:eastAsia="Arial" w:hAnsi="Arial"/>
          <w:sz w:val="22"/>
          <w:szCs w:val="22"/>
          <w:b w:val="1"/>
          <w:bCs w:val="1"/>
          <w:u w:val="single" w:color="auto"/>
          <w:color w:val="auto"/>
        </w:rPr>
        <w:t>Matched PRSUs</w:t>
      </w:r>
      <w:r>
        <w:rPr>
          <w:rFonts w:ascii="Arial" w:cs="Arial" w:eastAsia="Arial" w:hAnsi="Arial"/>
          <w:sz w:val="22"/>
          <w:szCs w:val="22"/>
          <w:color w:val="auto"/>
          <w:highlight w:val="white"/>
        </w:rPr>
        <w:t>”).</w:t>
      </w:r>
    </w:p>
    <w:p>
      <w:pPr>
        <w:spacing w:after="0" w:line="247" w:lineRule="exact"/>
        <w:rPr>
          <w:sz w:val="20"/>
          <w:szCs w:val="20"/>
          <w:color w:val="auto"/>
        </w:rPr>
      </w:pPr>
    </w:p>
    <w:p>
      <w:pPr>
        <w:ind w:left="1388" w:hanging="625"/>
        <w:spacing w:after="0" w:line="259" w:lineRule="auto"/>
        <w:rPr>
          <w:sz w:val="20"/>
          <w:szCs w:val="20"/>
          <w:color w:val="auto"/>
        </w:rPr>
      </w:pPr>
      <w:r>
        <w:rPr>
          <w:rFonts w:ascii="Arial" w:cs="Arial" w:eastAsia="Arial" w:hAnsi="Arial"/>
          <w:sz w:val="20"/>
          <w:szCs w:val="20"/>
          <w:color w:val="auto"/>
        </w:rPr>
        <w:t>(ii)</w:t>
      </w:r>
      <w:r>
        <w:rPr>
          <w:rFonts w:ascii="Arial" w:cs="Arial" w:eastAsia="Arial" w:hAnsi="Arial"/>
          <w:sz w:val="21"/>
          <w:szCs w:val="21"/>
          <w:color w:val="auto"/>
        </w:rPr>
        <w:t>Notwithstanding anything herein to the contrary, in the event a Participant fails to tender funds or</w:t>
      </w:r>
      <w:r>
        <w:rPr>
          <w:rFonts w:ascii="Arial" w:cs="Arial" w:eastAsia="Arial" w:hAnsi="Arial"/>
          <w:sz w:val="20"/>
          <w:szCs w:val="20"/>
          <w:color w:val="auto"/>
        </w:rPr>
        <w:t xml:space="preserve"> </w:t>
      </w:r>
      <w:r>
        <w:rPr>
          <w:rFonts w:ascii="Arial" w:cs="Arial" w:eastAsia="Arial" w:hAnsi="Arial"/>
          <w:sz w:val="21"/>
          <w:szCs w:val="21"/>
          <w:color w:val="auto"/>
        </w:rPr>
        <w:t>Shares with a value at least equal to the Adjusted ECP Award Value as required by Section 5(a) (i), the Company shall only grant to the Participant a number of Matched PRSUs with a value equal to the reduced amount tendered and any shortfall in the ECP Award Value shall be allocated in RSUs.</w:t>
      </w:r>
    </w:p>
    <w:p>
      <w:pPr>
        <w:spacing w:after="0" w:line="237" w:lineRule="exact"/>
        <w:rPr>
          <w:sz w:val="20"/>
          <w:szCs w:val="20"/>
          <w:color w:val="auto"/>
        </w:rPr>
      </w:pPr>
    </w:p>
    <w:p>
      <w:pPr>
        <w:ind w:left="428" w:hanging="428"/>
        <w:spacing w:after="0"/>
        <w:tabs>
          <w:tab w:leader="none" w:pos="428" w:val="left"/>
        </w:tabs>
        <w:numPr>
          <w:ilvl w:val="0"/>
          <w:numId w:val="23"/>
        </w:numPr>
        <w:rPr>
          <w:rFonts w:ascii="Arial" w:cs="Arial" w:eastAsia="Arial" w:hAnsi="Arial"/>
          <w:sz w:val="20"/>
          <w:szCs w:val="20"/>
          <w:color w:val="auto"/>
        </w:rPr>
      </w:pPr>
      <w:r>
        <w:rPr>
          <w:rFonts w:ascii="Arial" w:cs="Arial" w:eastAsia="Arial" w:hAnsi="Arial"/>
          <w:sz w:val="22"/>
          <w:szCs w:val="22"/>
          <w:u w:val="single" w:color="auto"/>
          <w:color w:val="auto"/>
        </w:rPr>
        <w:t>Evidence of Purchased Shares and Matched PRSUs.</w:t>
      </w:r>
    </w:p>
    <w:p>
      <w:pPr>
        <w:spacing w:after="0" w:line="260" w:lineRule="exact"/>
        <w:rPr>
          <w:rFonts w:ascii="Arial" w:cs="Arial" w:eastAsia="Arial" w:hAnsi="Arial"/>
          <w:sz w:val="20"/>
          <w:szCs w:val="20"/>
          <w:color w:val="auto"/>
        </w:rPr>
      </w:pPr>
    </w:p>
    <w:p>
      <w:pPr>
        <w:ind w:left="1348" w:right="340" w:hanging="591"/>
        <w:spacing w:after="0" w:line="246" w:lineRule="auto"/>
        <w:tabs>
          <w:tab w:leader="none" w:pos="952" w:val="left"/>
        </w:tabs>
        <w:numPr>
          <w:ilvl w:val="1"/>
          <w:numId w:val="23"/>
        </w:numPr>
        <w:rPr>
          <w:rFonts w:ascii="Arial" w:cs="Arial" w:eastAsia="Arial" w:hAnsi="Arial"/>
          <w:sz w:val="20"/>
          <w:szCs w:val="20"/>
          <w:color w:val="auto"/>
        </w:rPr>
      </w:pPr>
      <w:r>
        <w:rPr>
          <w:rFonts w:ascii="Arial" w:cs="Arial" w:eastAsia="Arial" w:hAnsi="Arial"/>
          <w:sz w:val="22"/>
          <w:szCs w:val="22"/>
          <w:color w:val="auto"/>
        </w:rPr>
        <w:t>Purchased Shares shall be issued and registered in the name of the Participant and evidence of ownership of the Purchased Shares shall be retained by the Company in a restricted account maintained by the Company’s designated agent.</w:t>
      </w:r>
    </w:p>
    <w:p>
      <w:pPr>
        <w:spacing w:after="0" w:line="248" w:lineRule="exact"/>
        <w:rPr>
          <w:rFonts w:ascii="Arial" w:cs="Arial" w:eastAsia="Arial" w:hAnsi="Arial"/>
          <w:sz w:val="20"/>
          <w:szCs w:val="20"/>
          <w:color w:val="auto"/>
        </w:rPr>
      </w:pPr>
    </w:p>
    <w:p>
      <w:pPr>
        <w:ind w:left="1388" w:right="280" w:hanging="631"/>
        <w:spacing w:after="0" w:line="246" w:lineRule="auto"/>
        <w:tabs>
          <w:tab w:leader="none" w:pos="991" w:val="left"/>
        </w:tabs>
        <w:numPr>
          <w:ilvl w:val="1"/>
          <w:numId w:val="23"/>
        </w:numPr>
        <w:rPr>
          <w:rFonts w:ascii="Arial" w:cs="Arial" w:eastAsia="Arial" w:hAnsi="Arial"/>
          <w:sz w:val="20"/>
          <w:szCs w:val="20"/>
          <w:color w:val="auto"/>
        </w:rPr>
      </w:pPr>
      <w:r>
        <w:rPr>
          <w:rFonts w:ascii="Arial" w:cs="Arial" w:eastAsia="Arial" w:hAnsi="Arial"/>
          <w:sz w:val="22"/>
          <w:szCs w:val="22"/>
          <w:color w:val="auto"/>
        </w:rPr>
        <w:t>Prior to settlement, the Company or its designated agent shall maintain a bookkeeping account reflecting the number of Matched PRSUs granted as part of an ECP Award, and credited to a Participant’s account.</w:t>
      </w:r>
    </w:p>
    <w:p>
      <w:pPr>
        <w:spacing w:after="0" w:line="248" w:lineRule="exact"/>
        <w:rPr>
          <w:rFonts w:ascii="Arial" w:cs="Arial" w:eastAsia="Arial" w:hAnsi="Arial"/>
          <w:sz w:val="20"/>
          <w:szCs w:val="20"/>
          <w:color w:val="auto"/>
        </w:rPr>
      </w:pPr>
    </w:p>
    <w:p>
      <w:pPr>
        <w:jc w:val="both"/>
        <w:ind w:left="428" w:hanging="428"/>
        <w:spacing w:after="0" w:line="245" w:lineRule="auto"/>
        <w:tabs>
          <w:tab w:leader="none" w:pos="428" w:val="left"/>
        </w:tabs>
        <w:numPr>
          <w:ilvl w:val="0"/>
          <w:numId w:val="23"/>
        </w:numPr>
        <w:rPr>
          <w:rFonts w:ascii="Arial" w:cs="Arial" w:eastAsia="Arial" w:hAnsi="Arial"/>
          <w:sz w:val="20"/>
          <w:szCs w:val="20"/>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xml:space="preserve"> The Participant shall be entitled to vote Purchased Shares on any matter submitted to a vote of holders of Shares, and shall have all other rights of a shareholder of the Company, except as expressly limited by the ECP Award Agreement or the Plan. Prior to their settlement in accordance with ECP Terms and Conditions and the terms and conditions of the ECP Award Agreement and the Plan, the Participant shall not be entitled to vote Matched PRSUs.</w:t>
      </w:r>
    </w:p>
    <w:p>
      <w:pPr>
        <w:spacing w:after="0" w:line="248" w:lineRule="exact"/>
        <w:rPr>
          <w:rFonts w:ascii="Arial" w:cs="Arial" w:eastAsia="Arial" w:hAnsi="Arial"/>
          <w:sz w:val="20"/>
          <w:szCs w:val="20"/>
          <w:color w:val="auto"/>
        </w:rPr>
      </w:pPr>
    </w:p>
    <w:p>
      <w:pPr>
        <w:jc w:val="both"/>
        <w:ind w:left="428" w:hanging="428"/>
        <w:spacing w:after="0" w:line="244" w:lineRule="auto"/>
        <w:tabs>
          <w:tab w:leader="none" w:pos="428" w:val="left"/>
        </w:tabs>
        <w:numPr>
          <w:ilvl w:val="0"/>
          <w:numId w:val="23"/>
        </w:numPr>
        <w:rPr>
          <w:rFonts w:ascii="Arial" w:cs="Arial" w:eastAsia="Arial" w:hAnsi="Arial"/>
          <w:sz w:val="20"/>
          <w:szCs w:val="20"/>
          <w:color w:val="auto"/>
        </w:rPr>
      </w:pPr>
      <w:r>
        <w:rPr>
          <w:rFonts w:ascii="Arial" w:cs="Arial" w:eastAsia="Arial" w:hAnsi="Arial"/>
          <w:sz w:val="22"/>
          <w:szCs w:val="22"/>
          <w:u w:val="single" w:color="auto"/>
          <w:color w:val="auto"/>
        </w:rPr>
        <w:t>Dividends and Distributions.</w:t>
      </w:r>
      <w:r>
        <w:rPr>
          <w:rFonts w:ascii="Arial" w:cs="Arial" w:eastAsia="Arial" w:hAnsi="Arial"/>
          <w:sz w:val="22"/>
          <w:szCs w:val="22"/>
          <w:color w:val="auto"/>
        </w:rPr>
        <w:t xml:space="preserve"> </w:t>
      </w:r>
      <w:r>
        <w:rPr>
          <w:rFonts w:ascii="Arial" w:cs="Arial" w:eastAsia="Arial" w:hAnsi="Arial"/>
          <w:sz w:val="22"/>
          <w:szCs w:val="22"/>
          <w:color w:val="auto"/>
          <w:highlight w:val="white"/>
        </w:rPr>
        <w:t>Purchased Shares earn dividends and Matched PRSUs earn dividend</w:t>
      </w:r>
      <w:r>
        <w:rPr>
          <w:rFonts w:ascii="Arial" w:cs="Arial" w:eastAsia="Arial" w:hAnsi="Arial"/>
          <w:sz w:val="22"/>
          <w:szCs w:val="22"/>
          <w:color w:val="auto"/>
        </w:rPr>
        <w:t xml:space="preserve"> equivalents and are entitled to distributions during the vesting period if and to the extent that (x) with respect to the Purchased Shares, the Participant is the record owner of such Purchased Shares on any record date for such a dividend or distribution and (y) with respect to the Matched PRSUs, if the Participant has not forfeited the Matched PRSUs on or before the payment date for such dividend or distribution and complies with the vesting conditions set forth below.</w:t>
      </w:r>
    </w:p>
    <w:p>
      <w:pPr>
        <w:spacing w:after="0" w:line="253" w:lineRule="exact"/>
        <w:rPr>
          <w:rFonts w:ascii="Arial" w:cs="Arial" w:eastAsia="Arial" w:hAnsi="Arial"/>
          <w:sz w:val="20"/>
          <w:szCs w:val="20"/>
          <w:color w:val="auto"/>
        </w:rPr>
      </w:pPr>
    </w:p>
    <w:p>
      <w:pPr>
        <w:ind w:left="1348" w:right="140" w:hanging="591"/>
        <w:spacing w:after="0" w:line="246" w:lineRule="auto"/>
        <w:tabs>
          <w:tab w:leader="none" w:pos="952" w:val="left"/>
        </w:tabs>
        <w:numPr>
          <w:ilvl w:val="1"/>
          <w:numId w:val="23"/>
        </w:numPr>
        <w:rPr>
          <w:rFonts w:ascii="Arial" w:cs="Arial" w:eastAsia="Arial" w:hAnsi="Arial"/>
          <w:sz w:val="20"/>
          <w:szCs w:val="20"/>
          <w:color w:val="auto"/>
        </w:rPr>
      </w:pPr>
      <w:r>
        <w:rPr>
          <w:rFonts w:ascii="Arial" w:cs="Arial" w:eastAsia="Arial" w:hAnsi="Arial"/>
          <w:sz w:val="22"/>
          <w:szCs w:val="22"/>
          <w:color w:val="auto"/>
        </w:rPr>
        <w:t>In the event of a cash dividend or cash distribution on Shares, such dividend or distribution shall be paid in cash to Participant at the time of payment to shareholders generally and shall be non-forfeitable.</w:t>
      </w:r>
    </w:p>
    <w:p>
      <w:pPr>
        <w:spacing w:after="0" w:line="248" w:lineRule="exact"/>
        <w:rPr>
          <w:rFonts w:ascii="Arial" w:cs="Arial" w:eastAsia="Arial" w:hAnsi="Arial"/>
          <w:sz w:val="20"/>
          <w:szCs w:val="20"/>
          <w:color w:val="auto"/>
        </w:rPr>
      </w:pPr>
    </w:p>
    <w:p>
      <w:pPr>
        <w:ind w:left="1088" w:right="500" w:hanging="331"/>
        <w:spacing w:after="0" w:line="249" w:lineRule="auto"/>
        <w:tabs>
          <w:tab w:leader="none" w:pos="1088" w:val="left"/>
        </w:tabs>
        <w:numPr>
          <w:ilvl w:val="1"/>
          <w:numId w:val="23"/>
        </w:numPr>
        <w:rPr>
          <w:rFonts w:ascii="Arial" w:cs="Arial" w:eastAsia="Arial" w:hAnsi="Arial"/>
          <w:sz w:val="20"/>
          <w:szCs w:val="20"/>
          <w:color w:val="auto"/>
        </w:rPr>
      </w:pPr>
      <w:r>
        <w:rPr>
          <w:rFonts w:ascii="Arial" w:cs="Arial" w:eastAsia="Arial" w:hAnsi="Arial"/>
          <w:sz w:val="22"/>
          <w:szCs w:val="22"/>
          <w:color w:val="auto"/>
        </w:rPr>
        <w:t>In the event of any non-cash dividend or distribution in the form of property other than Shares, such property shall be distributed in respect of Purchased Shares,</w:t>
      </w:r>
    </w:p>
    <w:p>
      <w:pPr>
        <w:sectPr>
          <w:pgSz w:w="11900" w:h="16838" w:orient="portrait"/>
          <w:cols w:equalWidth="0" w:num="1">
            <w:col w:w="10548"/>
          </w:cols>
          <w:pgMar w:left="1112" w:top="877" w:right="239" w:bottom="1440" w:gutter="0" w:footer="0" w:header="0"/>
        </w:sectPr>
      </w:pPr>
    </w:p>
    <w:bookmarkStart w:id="40" w:name="page41"/>
    <w:bookmarkEnd w:id="40"/>
    <w:p>
      <w:pPr>
        <w:ind w:left="1628" w:right="140"/>
        <w:spacing w:after="0" w:line="244" w:lineRule="auto"/>
        <w:rPr>
          <w:sz w:val="20"/>
          <w:szCs w:val="20"/>
          <w:color w:val="auto"/>
        </w:rPr>
      </w:pPr>
      <w:r>
        <w:rPr>
          <w:rFonts w:ascii="Arial" w:cs="Arial" w:eastAsia="Arial" w:hAnsi="Arial"/>
          <w:sz w:val="22"/>
          <w:szCs w:val="22"/>
          <w:color w:val="auto"/>
        </w:rPr>
        <w:t>but the Company (or its designated agent) shall retain in its custody the property so distributed in respect of Matched PRSUs, which property, (1) will become vested if and to the same extent the underlying Matched PRSUs becomes vested, (2) will be settled if and to the same extent the underlying Matched PRSUs are settled and, (3) to the greatest extent practicable, shall be subject to all other terms and conditions applied to the underlying Matched PRSUs, including in the event of any dividends or distributions paid in respect of such property.</w:t>
      </w:r>
    </w:p>
    <w:p>
      <w:pPr>
        <w:spacing w:after="0" w:line="253" w:lineRule="exact"/>
        <w:rPr>
          <w:sz w:val="20"/>
          <w:szCs w:val="20"/>
          <w:color w:val="auto"/>
        </w:rPr>
      </w:pPr>
    </w:p>
    <w:p>
      <w:pPr>
        <w:ind w:left="1628" w:right="40" w:hanging="331"/>
        <w:spacing w:after="0" w:line="244" w:lineRule="auto"/>
        <w:tabs>
          <w:tab w:leader="none" w:pos="1628" w:val="left"/>
        </w:tabs>
        <w:numPr>
          <w:ilvl w:val="1"/>
          <w:numId w:val="24"/>
        </w:numPr>
        <w:rPr>
          <w:rFonts w:ascii="Arial" w:cs="Arial" w:eastAsia="Arial" w:hAnsi="Arial"/>
          <w:sz w:val="20"/>
          <w:szCs w:val="20"/>
          <w:color w:val="auto"/>
        </w:rPr>
      </w:pPr>
      <w:r>
        <w:rPr>
          <w:rFonts w:ascii="Arial" w:cs="Arial" w:eastAsia="Arial" w:hAnsi="Arial"/>
          <w:sz w:val="22"/>
          <w:szCs w:val="22"/>
          <w:color w:val="auto"/>
        </w:rPr>
        <w:t>In the event of a dividend or distribution in the form of Shares or a stock split of Shares, the Shares so issued or delivered will be deemed to be additional Purchased Shares and in the case of Matched PRSUs will be credited to the Participant’s bookkeeping account as additional Matched PRSUs and will become vested and will settle if and to the same extent as the underlying Matched PRSUs. With respect to dividends and distributions in respect of the Purchased Shares, such dividends and distributions will be made in the form of additional Shares, while with respect to dividends and distributions in respect of Matched PRSUs, the dividends and distributions will be made in the form of additional RSUs.</w:t>
      </w:r>
    </w:p>
    <w:p>
      <w:pPr>
        <w:spacing w:after="0" w:line="251" w:lineRule="exact"/>
        <w:rPr>
          <w:rFonts w:ascii="Arial" w:cs="Arial" w:eastAsia="Arial" w:hAnsi="Arial"/>
          <w:sz w:val="20"/>
          <w:szCs w:val="20"/>
          <w:color w:val="auto"/>
        </w:rPr>
      </w:pPr>
    </w:p>
    <w:p>
      <w:pPr>
        <w:ind w:left="968" w:right="20" w:hanging="428"/>
        <w:spacing w:after="0" w:line="249" w:lineRule="auto"/>
        <w:tabs>
          <w:tab w:leader="none" w:pos="968" w:val="left"/>
        </w:tabs>
        <w:numPr>
          <w:ilvl w:val="0"/>
          <w:numId w:val="25"/>
        </w:numPr>
        <w:rPr>
          <w:rFonts w:ascii="Arial" w:cs="Arial" w:eastAsia="Arial" w:hAnsi="Arial"/>
          <w:sz w:val="20"/>
          <w:szCs w:val="20"/>
          <w:color w:val="auto"/>
        </w:rPr>
      </w:pPr>
      <w:r>
        <w:rPr>
          <w:rFonts w:ascii="Arial" w:cs="Arial" w:eastAsia="Arial" w:hAnsi="Arial"/>
          <w:sz w:val="22"/>
          <w:szCs w:val="22"/>
          <w:u w:val="single" w:color="auto"/>
          <w:color w:val="auto"/>
        </w:rPr>
        <w:t>Restrictions on Purchased Shares and Matched PRSUs.</w:t>
      </w:r>
      <w:r>
        <w:rPr>
          <w:rFonts w:ascii="Arial" w:cs="Arial" w:eastAsia="Arial" w:hAnsi="Arial"/>
          <w:sz w:val="22"/>
          <w:szCs w:val="22"/>
          <w:color w:val="auto"/>
        </w:rPr>
        <w:t xml:space="preserve"> The Purchased Shares and Matched PRSUs shall be subject to the following restrictions during the vesting period:</w:t>
      </w:r>
    </w:p>
    <w:p>
      <w:pPr>
        <w:spacing w:after="0" w:line="244" w:lineRule="exact"/>
        <w:rPr>
          <w:rFonts w:ascii="Arial" w:cs="Arial" w:eastAsia="Arial" w:hAnsi="Arial"/>
          <w:sz w:val="20"/>
          <w:szCs w:val="20"/>
          <w:color w:val="auto"/>
        </w:rPr>
      </w:pPr>
    </w:p>
    <w:p>
      <w:pPr>
        <w:ind w:left="1628" w:right="60" w:hanging="331"/>
        <w:spacing w:after="0" w:line="244" w:lineRule="auto"/>
        <w:tabs>
          <w:tab w:leader="none" w:pos="1628" w:val="left"/>
        </w:tabs>
        <w:numPr>
          <w:ilvl w:val="1"/>
          <w:numId w:val="25"/>
        </w:numPr>
        <w:rPr>
          <w:rFonts w:ascii="Arial" w:cs="Arial" w:eastAsia="Arial" w:hAnsi="Arial"/>
          <w:sz w:val="20"/>
          <w:szCs w:val="20"/>
          <w:color w:val="auto"/>
        </w:rPr>
      </w:pPr>
      <w:r>
        <w:rPr>
          <w:rFonts w:ascii="Arial" w:cs="Arial" w:eastAsia="Arial" w:hAnsi="Arial"/>
          <w:sz w:val="22"/>
          <w:szCs w:val="22"/>
          <w:u w:val="single" w:color="auto"/>
          <w:color w:val="auto"/>
        </w:rPr>
        <w:t>Purchased Shares.</w:t>
      </w:r>
      <w:r>
        <w:rPr>
          <w:rFonts w:ascii="Arial" w:cs="Arial" w:eastAsia="Arial" w:hAnsi="Arial"/>
          <w:sz w:val="22"/>
          <w:szCs w:val="22"/>
          <w:color w:val="auto"/>
        </w:rPr>
        <w:t xml:space="preserve"> The Participant shall have the right to withdraw, transfer, sell, assign, pledge or encumber (subject to Section 23 of the Plan) any or all of the Purchased Shares at any time, by written notice addressed to the Company; provided that such withdrawal, transfer, sale, assignment, pledge or encumbrance of Purchased Shares will result in forfeiture of a corresponding number of Matched PRSUs. Upon forfeiture of any number of Matched PRSUs, the restrictions on the corresponding number of Purchased Shares will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-1463675</wp:posOffset>
            </wp:positionV>
            <wp:extent cx="287274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2740" cy="14605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-975360</wp:posOffset>
            </wp:positionV>
            <wp:extent cx="481076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10760" cy="1460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628" w:right="120" w:hanging="331"/>
        <w:spacing w:after="0" w:line="244" w:lineRule="auto"/>
        <w:tabs>
          <w:tab w:leader="none" w:pos="1628" w:val="left"/>
        </w:tabs>
        <w:numPr>
          <w:ilvl w:val="1"/>
          <w:numId w:val="26"/>
        </w:numPr>
        <w:rPr>
          <w:rFonts w:ascii="Arial" w:cs="Arial" w:eastAsia="Arial" w:hAnsi="Arial"/>
          <w:sz w:val="20"/>
          <w:szCs w:val="20"/>
          <w:color w:val="auto"/>
        </w:rPr>
      </w:pPr>
      <w:r>
        <w:rPr>
          <w:rFonts w:ascii="Arial" w:cs="Arial" w:eastAsia="Arial" w:hAnsi="Arial"/>
          <w:sz w:val="22"/>
          <w:szCs w:val="22"/>
          <w:u w:val="single" w:color="auto"/>
          <w:color w:val="auto"/>
        </w:rPr>
        <w:t>Matched PRSUs</w:t>
      </w:r>
      <w:r>
        <w:rPr>
          <w:rFonts w:ascii="Arial" w:cs="Arial" w:eastAsia="Arial" w:hAnsi="Arial"/>
          <w:sz w:val="22"/>
          <w:szCs w:val="22"/>
          <w:color w:val="auto"/>
          <w:highlight w:val="white"/>
        </w:rPr>
        <w:t>. Matched PRSUs are subject to the risk of forfeiture and other restrictions</w:t>
      </w:r>
      <w:r>
        <w:rPr>
          <w:rFonts w:ascii="Arial" w:cs="Arial" w:eastAsia="Arial" w:hAnsi="Arial"/>
          <w:sz w:val="22"/>
          <w:szCs w:val="22"/>
          <w:color w:val="auto"/>
        </w:rPr>
        <w:t xml:space="preserve"> specified in the Plan, ECP Award Agreement and these ECP Terms and Conditions. Participant shall have no right to settlement of Matched PRSUs and delivery of Shares underlying such Matched PRSUs until such time as the Matched PRSUs have become vested. Upon vesting, the Matched PRSUs will be settled by delivery of one share of Common Stock for each Matched PRSU being settled. Except as otherwise provided in Section 8 below, such settlement shall occur within thirty (30) days following the ECP Vesting Date.</w:t>
      </w:r>
    </w:p>
    <w:p>
      <w:pPr>
        <w:spacing w:after="0" w:line="226" w:lineRule="exact"/>
        <w:rPr>
          <w:rFonts w:ascii="Arial" w:cs="Arial" w:eastAsia="Arial" w:hAnsi="Arial"/>
          <w:sz w:val="20"/>
          <w:szCs w:val="20"/>
          <w:color w:val="auto"/>
        </w:rPr>
      </w:pPr>
    </w:p>
    <w:p>
      <w:pPr>
        <w:jc w:val="both"/>
        <w:ind w:left="328" w:hanging="328"/>
        <w:spacing w:after="0" w:line="258" w:lineRule="auto"/>
        <w:tabs>
          <w:tab w:leader="none" w:pos="328"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Stock-Settled Appreciation Rights (“</w:t>
      </w:r>
      <w:r>
        <w:rPr>
          <w:rFonts w:ascii="Arial" w:cs="Arial" w:eastAsia="Arial" w:hAnsi="Arial"/>
          <w:sz w:val="22"/>
          <w:szCs w:val="22"/>
          <w:b w:val="1"/>
          <w:bCs w:val="1"/>
          <w:u w:val="single" w:color="auto"/>
          <w:color w:val="auto"/>
        </w:rPr>
        <w:t>SSARs</w:t>
      </w:r>
      <w:r>
        <w:rPr>
          <w:rFonts w:ascii="Arial" w:cs="Arial" w:eastAsia="Arial" w:hAnsi="Arial"/>
          <w:sz w:val="22"/>
          <w:szCs w:val="22"/>
          <w:b w:val="1"/>
          <w:bCs w:val="1"/>
          <w:color w:val="auto"/>
        </w:rPr>
        <w:t>”)</w:t>
      </w:r>
      <w:r>
        <w:rPr>
          <w:rFonts w:ascii="Arial" w:cs="Arial" w:eastAsia="Arial" w:hAnsi="Arial"/>
          <w:sz w:val="22"/>
          <w:szCs w:val="22"/>
          <w:color w:val="auto"/>
        </w:rPr>
        <w:t>. SSARs are an award granted under Section 7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under which Participants receive a contractual right to receive the value in Shares of the appreciation in the Company’s price per Share from the SSAR Grant Date to the date the SSAR is exercised by the Participant.</w:t>
      </w:r>
    </w:p>
    <w:p>
      <w:pPr>
        <w:sectPr>
          <w:pgSz w:w="11900" w:h="16838" w:orient="portrait"/>
          <w:cols w:equalWidth="0" w:num="1">
            <w:col w:w="11088"/>
          </w:cols>
          <w:pgMar w:left="572" w:top="903" w:right="239" w:bottom="1440" w:gutter="0" w:footer="0" w:header="0"/>
        </w:sectPr>
      </w:pPr>
    </w:p>
    <w:bookmarkStart w:id="41" w:name="page42"/>
    <w:bookmarkEnd w:id="41"/>
    <w:p>
      <w:pPr>
        <w:jc w:val="both"/>
        <w:ind w:left="968" w:right="20" w:hanging="428"/>
        <w:spacing w:after="0" w:line="246" w:lineRule="auto"/>
        <w:tabs>
          <w:tab w:leader="none" w:pos="968" w:val="left"/>
        </w:tabs>
        <w:numPr>
          <w:ilvl w:val="0"/>
          <w:numId w:val="28"/>
        </w:numPr>
        <w:rPr>
          <w:rFonts w:ascii="Arial" w:cs="Arial" w:eastAsia="Arial" w:hAnsi="Arial"/>
          <w:sz w:val="20"/>
          <w:szCs w:val="20"/>
          <w:color w:val="auto"/>
        </w:rPr>
      </w:pPr>
      <w:r>
        <w:rPr>
          <w:rFonts w:ascii="Arial" w:cs="Arial" w:eastAsia="Arial" w:hAnsi="Arial"/>
          <w:sz w:val="22"/>
          <w:szCs w:val="22"/>
          <w:u w:val="single" w:color="auto"/>
          <w:color w:val="auto"/>
        </w:rPr>
        <w:t>Number of SSARs Granted</w:t>
      </w:r>
      <w:r>
        <w:rPr>
          <w:rFonts w:ascii="Arial" w:cs="Arial" w:eastAsia="Arial" w:hAnsi="Arial"/>
          <w:sz w:val="22"/>
          <w:szCs w:val="22"/>
          <w:color w:val="auto"/>
        </w:rPr>
        <w:t>. The total number of SSARs granted by the Company to a Participant is set forth on the first page of the ECP Award Agreement and is based on 4.5 times the Participant’s SSARs award value divided by the Fair Market Value of a Share on the Grant Date. By way of example:</w:t>
      </w:r>
    </w:p>
    <w:p>
      <w:pPr>
        <w:spacing w:after="0" w:line="249" w:lineRule="exact"/>
        <w:rPr>
          <w:sz w:val="20"/>
          <w:szCs w:val="20"/>
          <w:color w:val="auto"/>
        </w:rPr>
      </w:pPr>
    </w:p>
    <w:p>
      <w:pPr>
        <w:jc w:val="both"/>
        <w:ind w:left="1628"/>
        <w:spacing w:after="0" w:line="245" w:lineRule="auto"/>
        <w:rPr>
          <w:sz w:val="20"/>
          <w:szCs w:val="20"/>
          <w:color w:val="auto"/>
        </w:rPr>
      </w:pPr>
      <w:r>
        <w:rPr>
          <w:rFonts w:ascii="Arial" w:cs="Arial" w:eastAsia="Arial" w:hAnsi="Arial"/>
          <w:sz w:val="22"/>
          <w:szCs w:val="22"/>
          <w:color w:val="auto"/>
        </w:rPr>
        <w:t>“If the Participant’s ECP Award value is $100 and the Participant elects to allocate the total ECP Award to SSARs, then the number of SSARs granted to the Participant would be equal to $100 multiplied by 4.5 divided by the Fair Market Value of a Share on the Grant Date. If the Fair Market Value of a Share on the Grant Date was $10 per Share, then the Participant would receive 45 SSARs.”</w:t>
      </w:r>
    </w:p>
    <w:p>
      <w:pPr>
        <w:spacing w:after="0" w:line="248" w:lineRule="exact"/>
        <w:rPr>
          <w:sz w:val="20"/>
          <w:szCs w:val="20"/>
          <w:color w:val="auto"/>
        </w:rPr>
      </w:pPr>
    </w:p>
    <w:p>
      <w:pPr>
        <w:jc w:val="both"/>
        <w:ind w:left="968" w:hanging="428"/>
        <w:spacing w:after="0" w:line="246" w:lineRule="auto"/>
        <w:tabs>
          <w:tab w:leader="none" w:pos="968" w:val="left"/>
        </w:tabs>
        <w:numPr>
          <w:ilvl w:val="0"/>
          <w:numId w:val="29"/>
        </w:numPr>
        <w:rPr>
          <w:rFonts w:ascii="Arial" w:cs="Arial" w:eastAsia="Arial" w:hAnsi="Arial"/>
          <w:sz w:val="20"/>
          <w:szCs w:val="20"/>
          <w:color w:val="auto"/>
        </w:rPr>
      </w:pPr>
      <w:r>
        <w:rPr>
          <w:rFonts w:ascii="Arial" w:cs="Arial" w:eastAsia="Arial" w:hAnsi="Arial"/>
          <w:sz w:val="22"/>
          <w:szCs w:val="22"/>
          <w:u w:val="single" w:color="auto"/>
          <w:color w:val="auto"/>
        </w:rPr>
        <w:t>Evidence of SSAR Awards</w:t>
      </w:r>
      <w:r>
        <w:rPr>
          <w:rFonts w:ascii="Arial" w:cs="Arial" w:eastAsia="Arial" w:hAnsi="Arial"/>
          <w:sz w:val="22"/>
          <w:szCs w:val="22"/>
          <w:color w:val="auto"/>
          <w:highlight w:val="white"/>
        </w:rPr>
        <w:t>. Prior to vesting, the Company (or its designated agent) shall maintain a</w:t>
      </w:r>
      <w:r>
        <w:rPr>
          <w:rFonts w:ascii="Arial" w:cs="Arial" w:eastAsia="Arial" w:hAnsi="Arial"/>
          <w:sz w:val="22"/>
          <w:szCs w:val="22"/>
          <w:color w:val="auto"/>
        </w:rPr>
        <w:t xml:space="preserve"> bookkeeping account reflecting the number of SSARs granted as part of an ECP Award, and credited to a Participant’s account.</w:t>
      </w:r>
    </w:p>
    <w:p>
      <w:pPr>
        <w:spacing w:after="0" w:line="248" w:lineRule="exact"/>
        <w:rPr>
          <w:rFonts w:ascii="Arial" w:cs="Arial" w:eastAsia="Arial" w:hAnsi="Arial"/>
          <w:sz w:val="20"/>
          <w:szCs w:val="20"/>
          <w:color w:val="auto"/>
        </w:rPr>
      </w:pPr>
    </w:p>
    <w:p>
      <w:pPr>
        <w:jc w:val="both"/>
        <w:ind w:left="968" w:hanging="428"/>
        <w:spacing w:after="0" w:line="244" w:lineRule="auto"/>
        <w:tabs>
          <w:tab w:leader="none" w:pos="968" w:val="left"/>
        </w:tabs>
        <w:numPr>
          <w:ilvl w:val="0"/>
          <w:numId w:val="29"/>
        </w:numPr>
        <w:rPr>
          <w:rFonts w:ascii="Arial" w:cs="Arial" w:eastAsia="Arial" w:hAnsi="Arial"/>
          <w:sz w:val="20"/>
          <w:szCs w:val="20"/>
          <w:color w:val="auto"/>
        </w:rPr>
      </w:pPr>
      <w:r>
        <w:rPr>
          <w:rFonts w:ascii="Arial" w:cs="Arial" w:eastAsia="Arial" w:hAnsi="Arial"/>
          <w:sz w:val="22"/>
          <w:szCs w:val="22"/>
          <w:u w:val="single" w:color="auto"/>
          <w:color w:val="auto"/>
        </w:rPr>
        <w:t>Exercise and Payment of Awards</w:t>
      </w:r>
      <w:r>
        <w:rPr>
          <w:rFonts w:ascii="Arial" w:cs="Arial" w:eastAsia="Arial" w:hAnsi="Arial"/>
          <w:sz w:val="22"/>
          <w:szCs w:val="22"/>
          <w:color w:val="auto"/>
          <w:highlight w:val="white"/>
        </w:rPr>
        <w:t>. A Participant may exercise vested SSARs by delivering written notice</w:t>
      </w:r>
      <w:r>
        <w:rPr>
          <w:rFonts w:ascii="Arial" w:cs="Arial" w:eastAsia="Arial" w:hAnsi="Arial"/>
          <w:sz w:val="22"/>
          <w:szCs w:val="22"/>
          <w:color w:val="auto"/>
        </w:rPr>
        <w:t xml:space="preserve"> to the Company stating the number of Shares as to which SSARS are being exercised and the name in which Participant wishes the Shares to be issued. SSARs may only be exercised on a date that the Fair Market Value of a Share exceeds the Base Price (as defined below) and only if the SSARs are otherwise exercisable at such date. Upon exercise of SSARs, a Participant shall be entitled to receive payment in Shares, calculated as follows:</w:t>
      </w:r>
    </w:p>
    <w:p>
      <w:pPr>
        <w:spacing w:after="0" w:line="253" w:lineRule="exact"/>
        <w:rPr>
          <w:sz w:val="20"/>
          <w:szCs w:val="20"/>
          <w:color w:val="auto"/>
        </w:rPr>
      </w:pPr>
    </w:p>
    <w:p>
      <w:pPr>
        <w:ind w:left="1628"/>
        <w:spacing w:after="0" w:line="249" w:lineRule="auto"/>
        <w:rPr>
          <w:sz w:val="20"/>
          <w:szCs w:val="20"/>
          <w:color w:val="auto"/>
        </w:rPr>
      </w:pPr>
      <w:r>
        <w:rPr>
          <w:rFonts w:ascii="Arial" w:cs="Arial" w:eastAsia="Arial" w:hAnsi="Arial"/>
          <w:sz w:val="22"/>
          <w:szCs w:val="22"/>
          <w:color w:val="auto"/>
        </w:rPr>
        <w:t xml:space="preserve">Shares Paid = (FMV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Base Price)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w:t>
      </w:r>
      <w:r>
        <w:rPr>
          <w:rFonts w:ascii="Arial" w:cs="Arial" w:eastAsia="Arial" w:hAnsi="Arial"/>
          <w:sz w:val="22"/>
          <w:szCs w:val="22"/>
          <w:color w:val="auto"/>
          <w:highlight w:val="white"/>
        </w:rPr>
        <w:t>(number of SSARs exercised)</w:t>
      </w:r>
      <w:r>
        <w:rPr>
          <w:rFonts w:ascii="Arial" w:cs="Arial" w:eastAsia="Arial" w:hAnsi="Arial"/>
          <w:sz w:val="22"/>
          <w:szCs w:val="22"/>
          <w:color w:val="auto"/>
        </w:rPr>
        <w:t xml:space="preserve"> </w:t>
      </w:r>
      <w:r>
        <w:rPr>
          <w:rFonts w:ascii="Arial" w:cs="Arial" w:eastAsia="Arial" w:hAnsi="Arial"/>
          <w:sz w:val="22"/>
          <w:szCs w:val="22"/>
          <w:u w:val="single" w:color="auto"/>
          <w:color w:val="auto"/>
          <w:highlight w:val="white"/>
        </w:rPr>
        <w:t>divided by</w:t>
      </w:r>
      <w:r>
        <w:rPr>
          <w:rFonts w:ascii="Arial" w:cs="Arial" w:eastAsia="Arial" w:hAnsi="Arial"/>
          <w:sz w:val="22"/>
          <w:szCs w:val="22"/>
          <w:color w:val="auto"/>
        </w:rPr>
        <w:t xml:space="preserve"> FMV</w:t>
      </w:r>
    </w:p>
    <w:p>
      <w:pPr>
        <w:spacing w:after="0" w:line="245" w:lineRule="exact"/>
        <w:rPr>
          <w:sz w:val="20"/>
          <w:szCs w:val="20"/>
          <w:color w:val="auto"/>
        </w:rPr>
      </w:pPr>
    </w:p>
    <w:p>
      <w:pPr>
        <w:ind w:left="162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FMV</w:t>
      </w:r>
      <w:r>
        <w:rPr>
          <w:rFonts w:ascii="Arial" w:cs="Arial" w:eastAsia="Arial" w:hAnsi="Arial"/>
          <w:sz w:val="22"/>
          <w:szCs w:val="22"/>
          <w:color w:val="auto"/>
          <w:highlight w:val="white"/>
        </w:rPr>
        <w:t>” is the Fair Market Value of a Share at the exercise date</w:t>
      </w:r>
    </w:p>
    <w:p>
      <w:pPr>
        <w:spacing w:after="0" w:line="4" w:lineRule="exact"/>
        <w:rPr>
          <w:sz w:val="20"/>
          <w:szCs w:val="20"/>
          <w:color w:val="auto"/>
        </w:rPr>
      </w:pPr>
    </w:p>
    <w:p>
      <w:pPr>
        <w:jc w:val="both"/>
        <w:ind w:left="162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Price</w:t>
      </w:r>
      <w:r>
        <w:rPr>
          <w:rFonts w:ascii="Arial" w:cs="Arial" w:eastAsia="Arial" w:hAnsi="Arial"/>
          <w:sz w:val="22"/>
          <w:szCs w:val="22"/>
          <w:color w:val="auto"/>
        </w:rPr>
        <w:t>” is the Fair Market Value of a Share on the Grant Date as set forth in the Award Agreement.</w:t>
      </w:r>
    </w:p>
    <w:p>
      <w:pPr>
        <w:spacing w:after="0" w:line="245" w:lineRule="exact"/>
        <w:rPr>
          <w:sz w:val="20"/>
          <w:szCs w:val="20"/>
          <w:color w:val="auto"/>
        </w:rPr>
      </w:pPr>
    </w:p>
    <w:p>
      <w:pPr>
        <w:jc w:val="both"/>
        <w:ind w:left="1628"/>
        <w:spacing w:after="0" w:line="246" w:lineRule="auto"/>
        <w:rPr>
          <w:sz w:val="20"/>
          <w:szCs w:val="20"/>
          <w:color w:val="auto"/>
        </w:rPr>
      </w:pPr>
      <w:r>
        <w:rPr>
          <w:rFonts w:ascii="Arial" w:cs="Arial" w:eastAsia="Arial" w:hAnsi="Arial"/>
          <w:sz w:val="22"/>
          <w:szCs w:val="22"/>
          <w:color w:val="auto"/>
        </w:rPr>
        <w:t>If any fractional Share would be deliverable upon exercise, after taking into account withholding for mandatory taxes, the Company will pay cash in lieu of delivery of such fractional Share or will use such cash to apply towards withholding for taxes.</w:t>
      </w:r>
    </w:p>
    <w:p>
      <w:pPr>
        <w:spacing w:after="0" w:line="249" w:lineRule="exact"/>
        <w:rPr>
          <w:sz w:val="20"/>
          <w:szCs w:val="20"/>
          <w:color w:val="auto"/>
        </w:rPr>
      </w:pPr>
    </w:p>
    <w:p>
      <w:pPr>
        <w:ind w:left="968" w:hanging="428"/>
        <w:spacing w:after="0" w:line="249" w:lineRule="auto"/>
        <w:tabs>
          <w:tab w:leader="none" w:pos="968" w:val="left"/>
        </w:tabs>
        <w:numPr>
          <w:ilvl w:val="1"/>
          <w:numId w:val="30"/>
        </w:numPr>
        <w:rPr>
          <w:rFonts w:ascii="Arial" w:cs="Arial" w:eastAsia="Arial" w:hAnsi="Arial"/>
          <w:sz w:val="20"/>
          <w:szCs w:val="20"/>
          <w:color w:val="auto"/>
        </w:rPr>
      </w:pPr>
      <w:r>
        <w:rPr>
          <w:rFonts w:ascii="Arial" w:cs="Arial" w:eastAsia="Arial" w:hAnsi="Arial"/>
          <w:sz w:val="22"/>
          <w:szCs w:val="22"/>
          <w:u w:val="single" w:color="auto"/>
          <w:color w:val="auto"/>
        </w:rPr>
        <w:t>Exercise Period</w:t>
      </w:r>
      <w:r>
        <w:rPr>
          <w:rFonts w:ascii="Arial" w:cs="Arial" w:eastAsia="Arial" w:hAnsi="Arial"/>
          <w:sz w:val="22"/>
          <w:szCs w:val="22"/>
          <w:color w:val="auto"/>
          <w:highlight w:val="white"/>
        </w:rPr>
        <w:t>. SSARs are exercisable for a seven (7) year period, as measured from the Grant Date or</w:t>
      </w:r>
      <w:r>
        <w:rPr>
          <w:rFonts w:ascii="Arial" w:cs="Arial" w:eastAsia="Arial" w:hAnsi="Arial"/>
          <w:sz w:val="22"/>
          <w:szCs w:val="22"/>
          <w:color w:val="auto"/>
        </w:rPr>
        <w:t xml:space="preserve"> such earlier date as such SSAR may terminate as described herein.</w:t>
      </w:r>
    </w:p>
    <w:p>
      <w:pPr>
        <w:spacing w:after="0" w:line="244" w:lineRule="exact"/>
        <w:rPr>
          <w:rFonts w:ascii="Arial" w:cs="Arial" w:eastAsia="Arial" w:hAnsi="Arial"/>
          <w:sz w:val="20"/>
          <w:szCs w:val="20"/>
          <w:color w:val="auto"/>
        </w:rPr>
      </w:pPr>
    </w:p>
    <w:p>
      <w:pPr>
        <w:ind w:left="968" w:hanging="428"/>
        <w:spacing w:after="0"/>
        <w:tabs>
          <w:tab w:leader="none" w:pos="968" w:val="left"/>
        </w:tabs>
        <w:numPr>
          <w:ilvl w:val="1"/>
          <w:numId w:val="30"/>
        </w:numPr>
        <w:rPr>
          <w:rFonts w:ascii="Arial" w:cs="Arial" w:eastAsia="Arial" w:hAnsi="Arial"/>
          <w:sz w:val="20"/>
          <w:szCs w:val="20"/>
          <w:color w:val="auto"/>
        </w:rPr>
      </w:pPr>
      <w:r>
        <w:rPr>
          <w:rFonts w:ascii="Arial" w:cs="Arial" w:eastAsia="Arial" w:hAnsi="Arial"/>
          <w:sz w:val="22"/>
          <w:szCs w:val="22"/>
          <w:u w:val="single" w:color="auto"/>
          <w:color w:val="auto"/>
        </w:rPr>
        <w:t>Dividend and Voting Rights</w:t>
      </w:r>
      <w:r>
        <w:rPr>
          <w:rFonts w:ascii="Arial" w:cs="Arial" w:eastAsia="Arial" w:hAnsi="Arial"/>
          <w:sz w:val="22"/>
          <w:szCs w:val="22"/>
          <w:color w:val="auto"/>
          <w:highlight w:val="white"/>
        </w:rPr>
        <w:t>. SSARS do not earn dividends and are not entitled to any voting rights.</w:t>
      </w:r>
    </w:p>
    <w:p>
      <w:pPr>
        <w:spacing w:after="0" w:line="234" w:lineRule="exact"/>
        <w:rPr>
          <w:rFonts w:ascii="Arial" w:cs="Arial" w:eastAsia="Arial" w:hAnsi="Arial"/>
          <w:sz w:val="20"/>
          <w:szCs w:val="20"/>
          <w:color w:val="auto"/>
        </w:rPr>
      </w:pPr>
    </w:p>
    <w:p>
      <w:pPr>
        <w:ind w:left="328" w:hanging="328"/>
        <w:spacing w:after="0" w:line="274" w:lineRule="auto"/>
        <w:tabs>
          <w:tab w:leader="none" w:pos="328"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Restricted Stock Units (“</w:t>
      </w:r>
      <w:r>
        <w:rPr>
          <w:rFonts w:ascii="Arial" w:cs="Arial" w:eastAsia="Arial" w:hAnsi="Arial"/>
          <w:sz w:val="22"/>
          <w:szCs w:val="22"/>
          <w:b w:val="1"/>
          <w:bCs w:val="1"/>
          <w:u w:val="single" w:color="auto"/>
          <w:color w:val="auto"/>
        </w:rPr>
        <w:t>RSUs</w:t>
      </w:r>
      <w:r>
        <w:rPr>
          <w:rFonts w:ascii="Arial" w:cs="Arial" w:eastAsia="Arial" w:hAnsi="Arial"/>
          <w:sz w:val="22"/>
          <w:szCs w:val="22"/>
          <w:b w:val="1"/>
          <w:bCs w:val="1"/>
          <w:color w:val="auto"/>
        </w:rPr>
        <w:t>”)</w:t>
      </w:r>
      <w:r>
        <w:rPr>
          <w:rFonts w:ascii="Arial" w:cs="Arial" w:eastAsia="Arial" w:hAnsi="Arial"/>
          <w:sz w:val="22"/>
          <w:szCs w:val="22"/>
          <w:color w:val="auto"/>
        </w:rPr>
        <w:t>. RSUs are an Award granted under Section 7 of the Plan, under which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receive a contractual right to receive unrestricted Shares upon vesting.</w:t>
      </w:r>
    </w:p>
    <w:p>
      <w:pPr>
        <w:spacing w:after="0" w:line="218" w:lineRule="exact"/>
        <w:rPr>
          <w:rFonts w:ascii="Arial" w:cs="Arial" w:eastAsia="Arial" w:hAnsi="Arial"/>
          <w:sz w:val="22"/>
          <w:szCs w:val="22"/>
          <w:color w:val="auto"/>
        </w:rPr>
      </w:pPr>
    </w:p>
    <w:p>
      <w:pPr>
        <w:jc w:val="both"/>
        <w:ind w:left="968" w:hanging="428"/>
        <w:spacing w:after="0" w:line="246" w:lineRule="auto"/>
        <w:tabs>
          <w:tab w:leader="none" w:pos="968" w:val="left"/>
        </w:tabs>
        <w:numPr>
          <w:ilvl w:val="1"/>
          <w:numId w:val="31"/>
        </w:numPr>
        <w:rPr>
          <w:rFonts w:ascii="Arial" w:cs="Arial" w:eastAsia="Arial" w:hAnsi="Arial"/>
          <w:sz w:val="20"/>
          <w:szCs w:val="20"/>
          <w:color w:val="auto"/>
        </w:rPr>
      </w:pPr>
      <w:r>
        <w:rPr>
          <w:rFonts w:ascii="Arial" w:cs="Arial" w:eastAsia="Arial" w:hAnsi="Arial"/>
          <w:sz w:val="22"/>
          <w:szCs w:val="22"/>
          <w:u w:val="single" w:color="auto"/>
          <w:color w:val="auto"/>
        </w:rPr>
        <w:t>Number of RSUs granted</w:t>
      </w:r>
      <w:r>
        <w:rPr>
          <w:rFonts w:ascii="Arial" w:cs="Arial" w:eastAsia="Arial" w:hAnsi="Arial"/>
          <w:sz w:val="22"/>
          <w:szCs w:val="22"/>
          <w:color w:val="auto"/>
        </w:rPr>
        <w:t>. The total number of RSUs granted by the Company to a Participant is set forth on the first page of the ECP Award Agreement and is based on the Fair Market Value of a Share on the Grant Date.</w:t>
      </w:r>
    </w:p>
    <w:p>
      <w:pPr>
        <w:sectPr>
          <w:pgSz w:w="11900" w:h="16838" w:orient="portrait"/>
          <w:cols w:equalWidth="0" w:num="1">
            <w:col w:w="11088"/>
          </w:cols>
          <w:pgMar w:left="572" w:top="903" w:right="239" w:bottom="1440" w:gutter="0" w:footer="0" w:header="0"/>
        </w:sectPr>
      </w:pPr>
    </w:p>
    <w:bookmarkStart w:id="42" w:name="page43"/>
    <w:bookmarkEnd w:id="42"/>
    <w:p>
      <w:pPr>
        <w:jc w:val="both"/>
        <w:ind w:left="968" w:hanging="428"/>
        <w:spacing w:after="0" w:line="246" w:lineRule="auto"/>
        <w:tabs>
          <w:tab w:leader="none" w:pos="968" w:val="left"/>
        </w:tabs>
        <w:numPr>
          <w:ilvl w:val="1"/>
          <w:numId w:val="32"/>
        </w:numPr>
        <w:rPr>
          <w:rFonts w:ascii="Arial" w:cs="Arial" w:eastAsia="Arial" w:hAnsi="Arial"/>
          <w:sz w:val="20"/>
          <w:szCs w:val="20"/>
          <w:color w:val="auto"/>
        </w:rPr>
      </w:pPr>
      <w:r>
        <w:rPr>
          <w:rFonts w:ascii="Arial" w:cs="Arial" w:eastAsia="Arial" w:hAnsi="Arial"/>
          <w:sz w:val="22"/>
          <w:szCs w:val="22"/>
          <w:u w:val="single" w:color="auto"/>
          <w:color w:val="auto"/>
        </w:rPr>
        <w:t>Evidence of RSU Award.</w:t>
      </w:r>
      <w:r>
        <w:rPr>
          <w:rFonts w:ascii="Arial" w:cs="Arial" w:eastAsia="Arial" w:hAnsi="Arial"/>
          <w:sz w:val="22"/>
          <w:szCs w:val="22"/>
          <w:color w:val="auto"/>
        </w:rPr>
        <w:t xml:space="preserve"> Prior to vesting, the Company or its designated agent shall maintain a bookkeeping account reflecting the number of RSUs granted as part of an ECP Award, and credited to a Participant’s account.</w:t>
      </w:r>
    </w:p>
    <w:p>
      <w:pPr>
        <w:spacing w:after="0" w:line="248" w:lineRule="exact"/>
        <w:rPr>
          <w:rFonts w:ascii="Arial" w:cs="Arial" w:eastAsia="Arial" w:hAnsi="Arial"/>
          <w:sz w:val="20"/>
          <w:szCs w:val="20"/>
          <w:color w:val="auto"/>
        </w:rPr>
      </w:pPr>
    </w:p>
    <w:p>
      <w:pPr>
        <w:jc w:val="both"/>
        <w:ind w:left="968" w:hanging="428"/>
        <w:spacing w:after="0" w:line="246" w:lineRule="auto"/>
        <w:tabs>
          <w:tab w:leader="none" w:pos="968" w:val="left"/>
        </w:tabs>
        <w:numPr>
          <w:ilvl w:val="1"/>
          <w:numId w:val="32"/>
        </w:numPr>
        <w:rPr>
          <w:rFonts w:ascii="Arial" w:cs="Arial" w:eastAsia="Arial" w:hAnsi="Arial"/>
          <w:sz w:val="20"/>
          <w:szCs w:val="20"/>
          <w:color w:val="auto"/>
        </w:rPr>
      </w:pPr>
      <w:r>
        <w:rPr>
          <w:rFonts w:ascii="Arial" w:cs="Arial" w:eastAsia="Arial" w:hAnsi="Arial"/>
          <w:sz w:val="22"/>
          <w:szCs w:val="22"/>
          <w:u w:val="single" w:color="auto"/>
          <w:color w:val="auto"/>
        </w:rPr>
        <w:t>Settlement of RSUs</w:t>
      </w:r>
      <w:r>
        <w:rPr>
          <w:rFonts w:ascii="Arial" w:cs="Arial" w:eastAsia="Arial" w:hAnsi="Arial"/>
          <w:sz w:val="22"/>
          <w:szCs w:val="22"/>
          <w:color w:val="auto"/>
        </w:rPr>
        <w:t>. Upon vesting, the RSUs will be settled by delivery of one Share for each RSU being settled. Except as otherwise provided in Section 8 below, such settlement shall occur within thirty (30) days following the ECP Vesting Date.</w:t>
      </w:r>
    </w:p>
    <w:p>
      <w:pPr>
        <w:spacing w:after="0" w:line="222" w:lineRule="exact"/>
        <w:rPr>
          <w:rFonts w:ascii="Arial" w:cs="Arial" w:eastAsia="Arial" w:hAnsi="Arial"/>
          <w:sz w:val="20"/>
          <w:szCs w:val="20"/>
          <w:color w:val="auto"/>
        </w:rPr>
      </w:pPr>
    </w:p>
    <w:p>
      <w:pPr>
        <w:ind w:left="968" w:hanging="428"/>
        <w:spacing w:after="0" w:line="274" w:lineRule="auto"/>
        <w:tabs>
          <w:tab w:leader="none" w:pos="968" w:val="left"/>
        </w:tabs>
        <w:numPr>
          <w:ilvl w:val="1"/>
          <w:numId w:val="32"/>
        </w:numPr>
        <w:rPr>
          <w:rFonts w:ascii="Arial" w:cs="Arial" w:eastAsia="Arial" w:hAnsi="Arial"/>
          <w:sz w:val="20"/>
          <w:szCs w:val="20"/>
          <w:color w:val="auto"/>
        </w:rPr>
      </w:pPr>
      <w:r>
        <w:rPr>
          <w:rFonts w:ascii="Arial" w:cs="Arial" w:eastAsia="Arial" w:hAnsi="Arial"/>
          <w:sz w:val="22"/>
          <w:szCs w:val="22"/>
          <w:u w:val="single" w:color="auto"/>
          <w:color w:val="auto"/>
        </w:rPr>
        <w:t>Dividends/Dividend Equivalents and Voting Rights</w:t>
      </w:r>
      <w:r>
        <w:rPr>
          <w:rFonts w:ascii="Arial" w:cs="Arial" w:eastAsia="Arial" w:hAnsi="Arial"/>
          <w:sz w:val="22"/>
          <w:szCs w:val="22"/>
          <w:b w:val="1"/>
          <w:bCs w:val="1"/>
          <w:color w:val="auto"/>
        </w:rPr>
        <w:t>.</w:t>
      </w:r>
      <w:r>
        <w:rPr>
          <w:rFonts w:ascii="Arial" w:cs="Arial" w:eastAsia="Arial" w:hAnsi="Arial"/>
          <w:sz w:val="22"/>
          <w:szCs w:val="22"/>
          <w:color w:val="auto"/>
        </w:rPr>
        <w:t xml:space="preserve"> RSUs do not provide voting or dividend rights until fully vested and no dividends will be paid or credited on any RSUs.</w:t>
      </w:r>
    </w:p>
    <w:p>
      <w:pPr>
        <w:spacing w:after="0" w:line="192" w:lineRule="exact"/>
        <w:rPr>
          <w:rFonts w:ascii="Arial" w:cs="Arial" w:eastAsia="Arial" w:hAnsi="Arial"/>
          <w:sz w:val="20"/>
          <w:szCs w:val="20"/>
          <w:color w:val="auto"/>
        </w:rPr>
      </w:pPr>
    </w:p>
    <w:p>
      <w:pPr>
        <w:ind w:left="328" w:hanging="328"/>
        <w:spacing w:after="0" w:line="274" w:lineRule="auto"/>
        <w:tabs>
          <w:tab w:leader="none" w:pos="328"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The following provisions will govern the treatment of a Participant’s ECP Award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of a termination of Employment.</w:t>
      </w:r>
    </w:p>
    <w:p>
      <w:pPr>
        <w:spacing w:after="0" w:line="218" w:lineRule="exact"/>
        <w:rPr>
          <w:rFonts w:ascii="Arial" w:cs="Arial" w:eastAsia="Arial" w:hAnsi="Arial"/>
          <w:sz w:val="22"/>
          <w:szCs w:val="22"/>
          <w:color w:val="auto"/>
        </w:rPr>
      </w:pPr>
    </w:p>
    <w:p>
      <w:pPr>
        <w:jc w:val="both"/>
        <w:ind w:left="968" w:hanging="428"/>
        <w:spacing w:after="0" w:line="245" w:lineRule="auto"/>
        <w:tabs>
          <w:tab w:leader="none" w:pos="968" w:val="left"/>
        </w:tabs>
        <w:numPr>
          <w:ilvl w:val="1"/>
          <w:numId w:val="33"/>
        </w:numPr>
        <w:rPr>
          <w:rFonts w:ascii="Arial" w:cs="Arial" w:eastAsia="Arial" w:hAnsi="Arial"/>
          <w:sz w:val="20"/>
          <w:szCs w:val="20"/>
          <w:color w:val="auto"/>
        </w:rPr>
      </w:pPr>
      <w:r>
        <w:rPr>
          <w:rFonts w:ascii="Arial" w:cs="Arial" w:eastAsia="Arial" w:hAnsi="Arial"/>
          <w:sz w:val="22"/>
          <w:szCs w:val="22"/>
          <w:u w:val="single" w:color="auto"/>
          <w:color w:val="auto"/>
        </w:rPr>
        <w:t>Effect of Termination of Employment on Purchased Shares</w:t>
      </w:r>
      <w:r>
        <w:rPr>
          <w:rFonts w:ascii="Arial" w:cs="Arial" w:eastAsia="Arial" w:hAnsi="Arial"/>
          <w:sz w:val="22"/>
          <w:szCs w:val="22"/>
          <w:color w:val="auto"/>
          <w:highlight w:val="white"/>
        </w:rPr>
        <w:t>. If a Participant terminates Employment for</w:t>
      </w:r>
      <w:r>
        <w:rPr>
          <w:rFonts w:ascii="Arial" w:cs="Arial" w:eastAsia="Arial" w:hAnsi="Arial"/>
          <w:sz w:val="22"/>
          <w:szCs w:val="22"/>
          <w:color w:val="auto"/>
        </w:rPr>
        <w:t xml:space="preserve"> any reason or no reason (including, without limitation, for any reason set forth in Sections 8(b) through 8(e) below), all restrictions on such Participant’s Purchased Shares shall lapse as of the date of the Participant’s termination of Employment.</w:t>
      </w:r>
    </w:p>
    <w:p>
      <w:pPr>
        <w:spacing w:after="0" w:line="250" w:lineRule="exact"/>
        <w:rPr>
          <w:rFonts w:ascii="Arial" w:cs="Arial" w:eastAsia="Arial" w:hAnsi="Arial"/>
          <w:sz w:val="20"/>
          <w:szCs w:val="20"/>
          <w:color w:val="auto"/>
        </w:rPr>
      </w:pPr>
    </w:p>
    <w:p>
      <w:pPr>
        <w:jc w:val="both"/>
        <w:ind w:left="968" w:hanging="428"/>
        <w:spacing w:after="0" w:line="255" w:lineRule="auto"/>
        <w:tabs>
          <w:tab w:leader="none" w:pos="968" w:val="left"/>
        </w:tabs>
        <w:numPr>
          <w:ilvl w:val="1"/>
          <w:numId w:val="33"/>
        </w:numPr>
        <w:rPr>
          <w:rFonts w:ascii="Arial" w:cs="Arial" w:eastAsia="Arial" w:hAnsi="Arial"/>
          <w:sz w:val="19"/>
          <w:szCs w:val="19"/>
          <w:color w:val="auto"/>
        </w:rPr>
      </w:pPr>
      <w:r>
        <w:rPr>
          <w:rFonts w:ascii="Arial" w:cs="Arial" w:eastAsia="Arial" w:hAnsi="Arial"/>
          <w:sz w:val="21"/>
          <w:szCs w:val="21"/>
          <w:u w:val="single" w:color="auto"/>
          <w:color w:val="auto"/>
        </w:rPr>
        <w:t>Termination for Cause or Resignation.</w:t>
      </w:r>
      <w:r>
        <w:rPr>
          <w:rFonts w:ascii="Arial" w:cs="Arial" w:eastAsia="Arial" w:hAnsi="Arial"/>
          <w:sz w:val="21"/>
          <w:szCs w:val="21"/>
          <w:color w:val="auto"/>
        </w:rPr>
        <w:t xml:space="preserve"> If a Participant terminates Employment for Cause (as defined in the Plan) or voluntarily terminates (other than a voluntary termination of Employment by the Participant due to</w:t>
      </w:r>
    </w:p>
    <w:p>
      <w:pPr>
        <w:ind w:left="968" w:right="20" w:firstLine="5"/>
        <w:spacing w:after="0" w:line="249" w:lineRule="auto"/>
        <w:tabs>
          <w:tab w:leader="none" w:pos="1281" w:val="left"/>
        </w:tabs>
        <w:numPr>
          <w:ilvl w:val="2"/>
          <w:numId w:val="33"/>
        </w:numPr>
        <w:rPr>
          <w:rFonts w:ascii="Arial" w:cs="Arial" w:eastAsia="Arial" w:hAnsi="Arial"/>
          <w:sz w:val="22"/>
          <w:szCs w:val="22"/>
          <w:color w:val="auto"/>
        </w:rPr>
      </w:pPr>
      <w:r>
        <w:rPr>
          <w:rFonts w:ascii="Arial" w:cs="Arial" w:eastAsia="Arial" w:hAnsi="Arial"/>
          <w:sz w:val="22"/>
          <w:szCs w:val="22"/>
          <w:color w:val="auto"/>
        </w:rPr>
        <w:t>Normal Retirement, (y) Early Retirement [or (z) with respect to Participants who are designated as Tier I Employees by the Company for purposes of the ESP, Good Reason]), then:</w:t>
      </w:r>
    </w:p>
    <w:p>
      <w:pPr>
        <w:spacing w:after="0" w:line="244" w:lineRule="exact"/>
        <w:rPr>
          <w:rFonts w:ascii="Arial" w:cs="Arial" w:eastAsia="Arial" w:hAnsi="Arial"/>
          <w:sz w:val="22"/>
          <w:szCs w:val="22"/>
          <w:color w:val="auto"/>
        </w:rPr>
      </w:pPr>
    </w:p>
    <w:p>
      <w:pPr>
        <w:ind w:left="1628" w:hanging="331"/>
        <w:spacing w:after="0"/>
        <w:tabs>
          <w:tab w:leader="none" w:pos="1628" w:val="left"/>
        </w:tabs>
        <w:numPr>
          <w:ilvl w:val="3"/>
          <w:numId w:val="33"/>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Matched PRSUs</w:t>
      </w:r>
      <w:r>
        <w:rPr>
          <w:rFonts w:ascii="Arial" w:cs="Arial" w:eastAsia="Arial" w:hAnsi="Arial"/>
          <w:sz w:val="22"/>
          <w:szCs w:val="22"/>
          <w:color w:val="auto"/>
        </w:rPr>
        <w:t xml:space="preserve"> will be immediately forfeited;</w:t>
      </w:r>
    </w:p>
    <w:p>
      <w:pPr>
        <w:spacing w:after="0" w:line="260" w:lineRule="exact"/>
        <w:rPr>
          <w:rFonts w:ascii="Arial" w:cs="Arial" w:eastAsia="Arial" w:hAnsi="Arial"/>
          <w:sz w:val="20"/>
          <w:szCs w:val="20"/>
          <w:color w:val="auto"/>
        </w:rPr>
      </w:pPr>
    </w:p>
    <w:p>
      <w:pPr>
        <w:ind w:left="1628" w:hanging="331"/>
        <w:spacing w:after="0" w:line="244" w:lineRule="auto"/>
        <w:tabs>
          <w:tab w:leader="none" w:pos="1628" w:val="left"/>
        </w:tabs>
        <w:numPr>
          <w:ilvl w:val="3"/>
          <w:numId w:val="33"/>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be immediately forfeited and all vested SSARs (i) will cease to be exercisable and will terminate three (3) months after termination of Employment with the Company (or an affiliate of the Company) due to a voluntary termination by the Participant (but in no event after the expiration date of the award grant) and (ii) all outstanding vested SSARs will cease to be exercisable and will immediately terminate in the case of a termination for Cause by the Company; and,</w:t>
      </w:r>
    </w:p>
    <w:p>
      <w:pPr>
        <w:spacing w:after="0" w:line="253" w:lineRule="exact"/>
        <w:rPr>
          <w:rFonts w:ascii="Arial" w:cs="Arial" w:eastAsia="Arial" w:hAnsi="Arial"/>
          <w:sz w:val="20"/>
          <w:szCs w:val="20"/>
          <w:color w:val="auto"/>
        </w:rPr>
      </w:pPr>
    </w:p>
    <w:p>
      <w:pPr>
        <w:ind w:left="1628" w:hanging="331"/>
        <w:spacing w:after="0"/>
        <w:tabs>
          <w:tab w:leader="none" w:pos="1628" w:val="left"/>
        </w:tabs>
        <w:numPr>
          <w:ilvl w:val="3"/>
          <w:numId w:val="33"/>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be immediately forfeited.</w:t>
      </w:r>
    </w:p>
    <w:p>
      <w:pPr>
        <w:spacing w:after="0" w:line="260" w:lineRule="exact"/>
        <w:rPr>
          <w:rFonts w:ascii="Arial" w:cs="Arial" w:eastAsia="Arial" w:hAnsi="Arial"/>
          <w:sz w:val="20"/>
          <w:szCs w:val="20"/>
          <w:color w:val="auto"/>
        </w:rPr>
      </w:pPr>
    </w:p>
    <w:p>
      <w:pPr>
        <w:ind w:left="968" w:right="20" w:hanging="428"/>
        <w:spacing w:after="0" w:line="249" w:lineRule="auto"/>
        <w:tabs>
          <w:tab w:leader="none" w:pos="968" w:val="left"/>
        </w:tabs>
        <w:numPr>
          <w:ilvl w:val="1"/>
          <w:numId w:val="33"/>
        </w:numPr>
        <w:rPr>
          <w:rFonts w:ascii="Arial" w:cs="Arial" w:eastAsia="Arial" w:hAnsi="Arial"/>
          <w:sz w:val="20"/>
          <w:szCs w:val="20"/>
          <w:color w:val="auto"/>
        </w:rPr>
      </w:pPr>
      <w:r>
        <w:rPr>
          <w:rFonts w:ascii="Arial" w:cs="Arial" w:eastAsia="Arial" w:hAnsi="Arial"/>
          <w:sz w:val="22"/>
          <w:szCs w:val="22"/>
          <w:u w:val="single" w:color="auto"/>
          <w:color w:val="auto"/>
        </w:rPr>
        <w:t>Termination due to Disability or Normal Retirement</w:t>
      </w:r>
      <w:r>
        <w:rPr>
          <w:rFonts w:ascii="Arial" w:cs="Arial" w:eastAsia="Arial" w:hAnsi="Arial"/>
          <w:sz w:val="22"/>
          <w:szCs w:val="22"/>
          <w:color w:val="auto"/>
          <w:highlight w:val="white"/>
        </w:rPr>
        <w:t>. If a Participant terminates Employment due to</w:t>
      </w:r>
      <w:r>
        <w:rPr>
          <w:rFonts w:ascii="Arial" w:cs="Arial" w:eastAsia="Arial" w:hAnsi="Arial"/>
          <w:sz w:val="22"/>
          <w:szCs w:val="22"/>
          <w:color w:val="auto"/>
        </w:rPr>
        <w:t xml:space="preserve"> Disability or Normal Retirement, then:</w:t>
      </w:r>
    </w:p>
    <w:p>
      <w:pPr>
        <w:spacing w:after="0" w:line="244" w:lineRule="exact"/>
        <w:rPr>
          <w:rFonts w:ascii="Arial" w:cs="Arial" w:eastAsia="Arial" w:hAnsi="Arial"/>
          <w:sz w:val="20"/>
          <w:szCs w:val="20"/>
          <w:color w:val="auto"/>
        </w:rPr>
      </w:pPr>
    </w:p>
    <w:p>
      <w:pPr>
        <w:ind w:left="1628" w:right="260" w:hanging="331"/>
        <w:spacing w:after="0" w:line="245" w:lineRule="auto"/>
        <w:tabs>
          <w:tab w:leader="none" w:pos="1628" w:val="left"/>
        </w:tabs>
        <w:numPr>
          <w:ilvl w:val="3"/>
          <w:numId w:val="34"/>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Matched PRSUs</w:t>
      </w:r>
      <w:r>
        <w:rPr>
          <w:rFonts w:ascii="Arial" w:cs="Arial" w:eastAsia="Arial" w:hAnsi="Arial"/>
          <w:sz w:val="22"/>
          <w:szCs w:val="22"/>
          <w:color w:val="auto"/>
        </w:rPr>
        <w:t xml:space="preserve"> will remain outstanding and will become vested at the ECP Vesting Date as though the Participant had not had a termination of Employment under this Section 8(c). Upon vesting, such Matched PRSUs will be settled within thirty (30) days after the ECP Vesting Date.</w:t>
      </w:r>
    </w:p>
    <w:p>
      <w:pPr>
        <w:spacing w:after="0" w:line="250" w:lineRule="exact"/>
        <w:rPr>
          <w:rFonts w:ascii="Arial" w:cs="Arial" w:eastAsia="Arial" w:hAnsi="Arial"/>
          <w:sz w:val="20"/>
          <w:szCs w:val="20"/>
          <w:color w:val="auto"/>
        </w:rPr>
      </w:pPr>
    </w:p>
    <w:p>
      <w:pPr>
        <w:ind w:left="1628" w:right="240" w:hanging="331"/>
        <w:spacing w:after="0" w:line="249" w:lineRule="auto"/>
        <w:tabs>
          <w:tab w:leader="none" w:pos="1628" w:val="left"/>
        </w:tabs>
        <w:numPr>
          <w:ilvl w:val="3"/>
          <w:numId w:val="34"/>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remain outstanding and will become exercisable at the ECP Vesting Date as though the Participant had not had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-3424555</wp:posOffset>
            </wp:positionV>
            <wp:extent cx="175831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8315" cy="146050"/>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-3098800</wp:posOffset>
            </wp:positionV>
            <wp:extent cx="403923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9235" cy="146050"/>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-1143000</wp:posOffset>
            </wp:positionV>
            <wp:extent cx="327596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5965" cy="146050"/>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-328295</wp:posOffset>
            </wp:positionV>
            <wp:extent cx="389318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93185" cy="146050"/>
                    </a:xfrm>
                    <a:prstGeom prst="rect">
                      <a:avLst/>
                    </a:prstGeom>
                    <a:noFill/>
                  </pic:spPr>
                </pic:pic>
              </a:graphicData>
            </a:graphic>
          </wp:anchor>
        </w:drawing>
      </w:r>
    </w:p>
    <w:p>
      <w:pPr>
        <w:sectPr>
          <w:pgSz w:w="11900" w:h="16838" w:orient="portrait"/>
          <w:cols w:equalWidth="0" w:num="1">
            <w:col w:w="11088"/>
          </w:cols>
          <w:pgMar w:left="572" w:top="903" w:right="239" w:bottom="1440" w:gutter="0" w:footer="0" w:header="0"/>
        </w:sectPr>
      </w:pPr>
    </w:p>
    <w:bookmarkStart w:id="43" w:name="page44"/>
    <w:bookmarkEnd w:id="43"/>
    <w:p>
      <w:pPr>
        <w:ind w:left="1088" w:right="260"/>
        <w:spacing w:after="0" w:line="245" w:lineRule="auto"/>
        <w:rPr>
          <w:sz w:val="20"/>
          <w:szCs w:val="20"/>
          <w:color w:val="auto"/>
        </w:rPr>
      </w:pPr>
      <w:r>
        <w:rPr>
          <w:rFonts w:ascii="Arial" w:cs="Arial" w:eastAsia="Arial" w:hAnsi="Arial"/>
          <w:sz w:val="22"/>
          <w:szCs w:val="22"/>
          <w:color w:val="auto"/>
        </w:rPr>
        <w:t>termination of Employment under this Section 8(c). SSARs that were vested at the time of the Participant’s termination of Employment and those that become vested thereafter will remain outstanding and exercisable until the expiration date of the SSARs, at which date the SSARs will cease to be exercisable and will terminate.</w:t>
      </w:r>
    </w:p>
    <w:p>
      <w:pPr>
        <w:spacing w:after="0" w:line="250" w:lineRule="exact"/>
        <w:rPr>
          <w:sz w:val="20"/>
          <w:szCs w:val="20"/>
          <w:color w:val="auto"/>
        </w:rPr>
      </w:pPr>
    </w:p>
    <w:p>
      <w:pPr>
        <w:ind w:left="1088" w:right="60" w:hanging="331"/>
        <w:spacing w:after="0" w:line="264" w:lineRule="auto"/>
        <w:tabs>
          <w:tab w:leader="none" w:pos="1088" w:val="left"/>
        </w:tabs>
        <w:numPr>
          <w:ilvl w:val="1"/>
          <w:numId w:val="35"/>
        </w:numPr>
        <w:rPr>
          <w:rFonts w:ascii="Arial" w:cs="Arial" w:eastAsia="Arial" w:hAnsi="Arial"/>
          <w:sz w:val="19"/>
          <w:szCs w:val="19"/>
          <w:color w:val="auto"/>
        </w:rPr>
      </w:pPr>
      <w:r>
        <w:rPr>
          <w:rFonts w:ascii="Arial" w:cs="Arial" w:eastAsia="Arial" w:hAnsi="Arial"/>
          <w:sz w:val="21"/>
          <w:szCs w:val="21"/>
          <w:color w:val="auto"/>
        </w:rPr>
        <w:t xml:space="preserve">All outstanding unvested </w:t>
      </w:r>
      <w:r>
        <w:rPr>
          <w:rFonts w:ascii="Arial" w:cs="Arial" w:eastAsia="Arial" w:hAnsi="Arial"/>
          <w:sz w:val="21"/>
          <w:szCs w:val="21"/>
          <w:u w:val="single" w:color="auto"/>
          <w:color w:val="auto"/>
        </w:rPr>
        <w:t>RSUs</w:t>
      </w:r>
      <w:r>
        <w:rPr>
          <w:rFonts w:ascii="Arial" w:cs="Arial" w:eastAsia="Arial" w:hAnsi="Arial"/>
          <w:sz w:val="21"/>
          <w:szCs w:val="21"/>
          <w:color w:val="auto"/>
        </w:rPr>
        <w:t xml:space="preserve"> will remain outstanding and will become vested at the ECP Vesting Date as though the Participant had not had a termination of Employment under this Section 8(c). Upon vesting, such RSUs will be settled within thirty (30) days after the ECP Vesting Date.</w:t>
      </w:r>
    </w:p>
    <w:p>
      <w:pPr>
        <w:spacing w:after="0" w:line="229" w:lineRule="exact"/>
        <w:rPr>
          <w:rFonts w:ascii="Arial" w:cs="Arial" w:eastAsia="Arial" w:hAnsi="Arial"/>
          <w:sz w:val="19"/>
          <w:szCs w:val="19"/>
          <w:color w:val="auto"/>
        </w:rPr>
      </w:pPr>
    </w:p>
    <w:p>
      <w:pPr>
        <w:jc w:val="both"/>
        <w:ind w:left="428" w:hanging="428"/>
        <w:spacing w:after="0" w:line="245" w:lineRule="auto"/>
        <w:tabs>
          <w:tab w:leader="none" w:pos="428" w:val="left"/>
        </w:tabs>
        <w:numPr>
          <w:ilvl w:val="0"/>
          <w:numId w:val="36"/>
        </w:numPr>
        <w:rPr>
          <w:rFonts w:ascii="Arial" w:cs="Arial" w:eastAsia="Arial" w:hAnsi="Arial"/>
          <w:sz w:val="20"/>
          <w:szCs w:val="20"/>
          <w:color w:val="auto"/>
        </w:rPr>
      </w:pPr>
      <w:r>
        <w:rPr>
          <w:rFonts w:ascii="Arial" w:cs="Arial" w:eastAsia="Arial" w:hAnsi="Arial"/>
          <w:sz w:val="22"/>
          <w:szCs w:val="22"/>
          <w:u w:val="single" w:color="auto"/>
          <w:color w:val="auto"/>
        </w:rPr>
        <w:t>Termination Not for Cause, [for Good Reason] or Early Retirement.</w:t>
      </w:r>
      <w:r>
        <w:rPr>
          <w:rFonts w:ascii="Arial" w:cs="Arial" w:eastAsia="Arial" w:hAnsi="Arial"/>
          <w:sz w:val="22"/>
          <w:szCs w:val="22"/>
          <w:color w:val="auto"/>
        </w:rPr>
        <w:t xml:space="preserve"> If a Participant involuntarily terminates Employment not for Cause, or voluntarily terminates Employment due to [(x)] Early Retirement [or (y) with respect to Participants who are designated as Tier I Employees by the Company for purposes of the ESP, Good Reason], then:</w:t>
      </w:r>
    </w:p>
    <w:p>
      <w:pPr>
        <w:spacing w:after="0" w:line="250" w:lineRule="exact"/>
        <w:rPr>
          <w:rFonts w:ascii="Arial" w:cs="Arial" w:eastAsia="Arial" w:hAnsi="Arial"/>
          <w:sz w:val="20"/>
          <w:szCs w:val="20"/>
          <w:color w:val="auto"/>
        </w:rPr>
      </w:pPr>
    </w:p>
    <w:p>
      <w:pPr>
        <w:jc w:val="both"/>
        <w:ind w:left="1088" w:right="420" w:hanging="331"/>
        <w:spacing w:after="0" w:line="245" w:lineRule="auto"/>
        <w:tabs>
          <w:tab w:leader="none" w:pos="1088" w:val="left"/>
        </w:tabs>
        <w:numPr>
          <w:ilvl w:val="1"/>
          <w:numId w:val="36"/>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Matched PRSUs</w:t>
      </w:r>
      <w:r>
        <w:rPr>
          <w:rFonts w:ascii="Arial" w:cs="Arial" w:eastAsia="Arial" w:hAnsi="Arial"/>
          <w:sz w:val="22"/>
          <w:szCs w:val="22"/>
          <w:color w:val="auto"/>
        </w:rPr>
        <w:t xml:space="preserve"> will remain outstanding and will become vested at the ECP Vesting Date as though the Participant had not had a termination of Employment under this Section 8(d). Upon vesting, such Matched PRSUs will be settled within thirty (30) days after the ECP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-1465580</wp:posOffset>
            </wp:positionV>
            <wp:extent cx="236664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66645" cy="146050"/>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-650875</wp:posOffset>
            </wp:positionV>
            <wp:extent cx="192976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9765" cy="146050"/>
                    </a:xfrm>
                    <a:prstGeom prst="rect">
                      <a:avLst/>
                    </a:prstGeom>
                    <a:noFill/>
                  </pic:spPr>
                </pic:pic>
              </a:graphicData>
            </a:graphic>
          </wp:anchor>
        </w:drawing>
      </w:r>
    </w:p>
    <w:p>
      <w:pPr>
        <w:spacing w:after="0" w:line="230" w:lineRule="exact"/>
        <w:rPr>
          <w:sz w:val="20"/>
          <w:szCs w:val="20"/>
          <w:color w:val="auto"/>
        </w:rPr>
      </w:pPr>
    </w:p>
    <w:p>
      <w:pPr>
        <w:ind w:left="1088" w:right="280" w:hanging="331"/>
        <w:spacing w:after="0" w:line="244" w:lineRule="auto"/>
        <w:tabs>
          <w:tab w:leader="none" w:pos="1088" w:val="left"/>
        </w:tabs>
        <w:numPr>
          <w:ilvl w:val="1"/>
          <w:numId w:val="37"/>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remain outstanding and will become exercisable at the ECP Vesting Date as though the Participant had not had a termination of Employment under this Section 8(d). SSARs that were vested at the time of the Participant’s termination of Employment and those that become vested thereafter will remain outstanding and exercisable until the expiration date of the SSARs, at which date the SSARs will cease to be exercisable and will terminate.</w:t>
      </w:r>
    </w:p>
    <w:p>
      <w:pPr>
        <w:spacing w:after="0" w:line="253" w:lineRule="exact"/>
        <w:rPr>
          <w:rFonts w:ascii="Arial" w:cs="Arial" w:eastAsia="Arial" w:hAnsi="Arial"/>
          <w:sz w:val="20"/>
          <w:szCs w:val="20"/>
          <w:color w:val="auto"/>
        </w:rPr>
      </w:pPr>
    </w:p>
    <w:p>
      <w:pPr>
        <w:ind w:left="1088" w:right="500" w:hanging="331"/>
        <w:spacing w:after="0" w:line="245" w:lineRule="auto"/>
        <w:tabs>
          <w:tab w:leader="none" w:pos="1088" w:val="left"/>
        </w:tabs>
        <w:numPr>
          <w:ilvl w:val="1"/>
          <w:numId w:val="37"/>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remain outstanding and will become vested at the ECP Vesting Date as though the Participant had not had such a termination of Employment under this Section 8(d). Upon vesting, such RSUs will be settled within thirty (30) days after the ECP Vesting Date.</w:t>
      </w:r>
    </w:p>
    <w:p>
      <w:pPr>
        <w:spacing w:after="0" w:line="250" w:lineRule="exact"/>
        <w:rPr>
          <w:rFonts w:ascii="Arial" w:cs="Arial" w:eastAsia="Arial" w:hAnsi="Arial"/>
          <w:sz w:val="20"/>
          <w:szCs w:val="20"/>
          <w:color w:val="auto"/>
        </w:rPr>
      </w:pPr>
    </w:p>
    <w:p>
      <w:pPr>
        <w:ind w:left="1088" w:right="60" w:hanging="331"/>
        <w:spacing w:after="0" w:line="244" w:lineRule="auto"/>
        <w:tabs>
          <w:tab w:leader="none" w:pos="1088" w:val="left"/>
        </w:tabs>
        <w:numPr>
          <w:ilvl w:val="1"/>
          <w:numId w:val="37"/>
        </w:numPr>
        <w:rPr>
          <w:rFonts w:ascii="Arial" w:cs="Arial" w:eastAsia="Arial" w:hAnsi="Arial"/>
          <w:sz w:val="20"/>
          <w:szCs w:val="20"/>
          <w:color w:val="auto"/>
        </w:rPr>
      </w:pPr>
      <w:r>
        <w:rPr>
          <w:rFonts w:ascii="Arial" w:cs="Arial" w:eastAsia="Arial" w:hAnsi="Arial"/>
          <w:sz w:val="22"/>
          <w:szCs w:val="22"/>
          <w:color w:val="auto"/>
        </w:rPr>
        <w:t xml:space="preserve">For purposes of Section 8(d)(i) through 8(d)(iii), the pro rata portion will be determined by multiplying the number of unvested Matched PRSUs, SSARs or RSUs, as the case may be, by a fraction with the numerator of which is </w:t>
      </w:r>
      <w:r>
        <w:rPr>
          <w:rFonts w:ascii="Arial" w:cs="Arial" w:eastAsia="Arial" w:hAnsi="Arial"/>
          <w:sz w:val="22"/>
          <w:szCs w:val="22"/>
          <w:i w:val="1"/>
          <w:iCs w:val="1"/>
          <w:color w:val="auto"/>
        </w:rPr>
        <w:t>(x)</w:t>
      </w:r>
      <w:r>
        <w:rPr>
          <w:rFonts w:ascii="Arial" w:cs="Arial" w:eastAsia="Arial" w:hAnsi="Arial"/>
          <w:sz w:val="22"/>
          <w:szCs w:val="22"/>
          <w:color w:val="auto"/>
        </w:rPr>
        <w:t xml:space="preserve"> the number of days from the Grant Date to the date of the Participant’s termination of Employment and </w:t>
      </w:r>
      <w:r>
        <w:rPr>
          <w:rFonts w:ascii="Arial" w:cs="Arial" w:eastAsia="Arial" w:hAnsi="Arial"/>
          <w:sz w:val="22"/>
          <w:szCs w:val="22"/>
          <w:i w:val="1"/>
          <w:iCs w:val="1"/>
          <w:color w:val="auto"/>
        </w:rPr>
        <w:t>(y)</w:t>
      </w:r>
      <w:r>
        <w:rPr>
          <w:rFonts w:ascii="Arial" w:cs="Arial" w:eastAsia="Arial" w:hAnsi="Arial"/>
          <w:sz w:val="22"/>
          <w:szCs w:val="22"/>
          <w:color w:val="auto"/>
        </w:rPr>
        <w:t xml:space="preserve"> the denominator of which is 1,066. A Participant’s Matched PRSUs, SSARs or RSUs, as the case may be, that had not vested before such termination of Employment under this Section 8(d). and which are not included in the pro rata portion subject to continued vesting will be immediately forfeited.</w:t>
      </w:r>
    </w:p>
    <w:p>
      <w:pPr>
        <w:spacing w:after="0" w:line="252" w:lineRule="exact"/>
        <w:rPr>
          <w:rFonts w:ascii="Arial" w:cs="Arial" w:eastAsia="Arial" w:hAnsi="Arial"/>
          <w:sz w:val="20"/>
          <w:szCs w:val="20"/>
          <w:color w:val="auto"/>
        </w:rPr>
      </w:pPr>
    </w:p>
    <w:p>
      <w:pPr>
        <w:ind w:left="428" w:hanging="428"/>
        <w:spacing w:after="0"/>
        <w:tabs>
          <w:tab w:leader="none" w:pos="428" w:val="left"/>
        </w:tabs>
        <w:numPr>
          <w:ilvl w:val="0"/>
          <w:numId w:val="38"/>
        </w:numPr>
        <w:rPr>
          <w:rFonts w:ascii="Arial" w:cs="Arial" w:eastAsia="Arial" w:hAnsi="Arial"/>
          <w:sz w:val="20"/>
          <w:szCs w:val="20"/>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 terminates Employment due to death,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-3414395</wp:posOffset>
            </wp:positionV>
            <wp:extent cx="246126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146050"/>
                    </a:xfrm>
                    <a:prstGeom prst="rect">
                      <a:avLst/>
                    </a:prstGeom>
                    <a:noFill/>
                  </pic:spPr>
                </pic:pic>
              </a:graphicData>
            </a:graphic>
          </wp:anchor>
        </w:drawing>
      </w:r>
    </w:p>
    <w:p>
      <w:pPr>
        <w:sectPr>
          <w:pgSz w:w="11900" w:h="16838" w:orient="portrait"/>
          <w:cols w:equalWidth="0" w:num="1">
            <w:col w:w="10548"/>
          </w:cols>
          <w:pgMar w:left="1112" w:top="903" w:right="239" w:bottom="1440" w:gutter="0" w:footer="0" w:header="0"/>
        </w:sectPr>
      </w:pPr>
    </w:p>
    <w:bookmarkStart w:id="44" w:name="page45"/>
    <w:bookmarkEnd w:id="44"/>
    <w:p>
      <w:pPr>
        <w:ind w:left="1628" w:right="400" w:hanging="331"/>
        <w:spacing w:after="0" w:line="272" w:lineRule="auto"/>
        <w:tabs>
          <w:tab w:leader="none" w:pos="1628" w:val="left"/>
        </w:tabs>
        <w:numPr>
          <w:ilvl w:val="2"/>
          <w:numId w:val="39"/>
        </w:numPr>
        <w:rPr>
          <w:rFonts w:ascii="Arial" w:cs="Arial" w:eastAsia="Arial" w:hAnsi="Arial"/>
          <w:sz w:val="19"/>
          <w:szCs w:val="19"/>
          <w:color w:val="auto"/>
        </w:rPr>
      </w:pPr>
      <w:r>
        <w:rPr>
          <w:rFonts w:ascii="Arial" w:cs="Arial" w:eastAsia="Arial" w:hAnsi="Arial"/>
          <w:sz w:val="21"/>
          <w:szCs w:val="21"/>
          <w:color w:val="auto"/>
        </w:rPr>
        <w:t xml:space="preserve">All outstanding unvested </w:t>
      </w:r>
      <w:r>
        <w:rPr>
          <w:rFonts w:ascii="Arial" w:cs="Arial" w:eastAsia="Arial" w:hAnsi="Arial"/>
          <w:sz w:val="21"/>
          <w:szCs w:val="21"/>
          <w:u w:val="single" w:color="auto"/>
          <w:color w:val="auto"/>
        </w:rPr>
        <w:t>Matched PRSUs</w:t>
      </w:r>
      <w:r>
        <w:rPr>
          <w:rFonts w:ascii="Arial" w:cs="Arial" w:eastAsia="Arial" w:hAnsi="Arial"/>
          <w:sz w:val="21"/>
          <w:szCs w:val="21"/>
          <w:color w:val="auto"/>
        </w:rPr>
        <w:t xml:space="preserve"> will become immediately vested. Upon vesting, such Matched PRSUs will be settled within thirty (30) days after the date of the Participant’s death.</w:t>
      </w:r>
    </w:p>
    <w:p>
      <w:pPr>
        <w:spacing w:after="0" w:line="222" w:lineRule="exact"/>
        <w:rPr>
          <w:rFonts w:ascii="Arial" w:cs="Arial" w:eastAsia="Arial" w:hAnsi="Arial"/>
          <w:sz w:val="19"/>
          <w:szCs w:val="19"/>
          <w:color w:val="auto"/>
        </w:rPr>
      </w:pPr>
    </w:p>
    <w:p>
      <w:pPr>
        <w:ind w:left="1628" w:right="100" w:hanging="331"/>
        <w:spacing w:after="0" w:line="245" w:lineRule="auto"/>
        <w:tabs>
          <w:tab w:leader="none" w:pos="1628" w:val="left"/>
        </w:tabs>
        <w:numPr>
          <w:ilvl w:val="2"/>
          <w:numId w:val="39"/>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become immediately vested and exercisable, and all SSARs that were vested at the time of the Participant’s termination of Employment and those that become vested thereafter will remain outstanding and exercisable until the expiration date of the grant, at which date the SSARs will cease to be exercisable and will terminate; and</w:t>
      </w:r>
    </w:p>
    <w:p>
      <w:pPr>
        <w:spacing w:after="0" w:line="250" w:lineRule="exact"/>
        <w:rPr>
          <w:rFonts w:ascii="Arial" w:cs="Arial" w:eastAsia="Arial" w:hAnsi="Arial"/>
          <w:sz w:val="20"/>
          <w:szCs w:val="20"/>
          <w:color w:val="auto"/>
        </w:rPr>
      </w:pPr>
    </w:p>
    <w:p>
      <w:pPr>
        <w:ind w:left="1628" w:right="140" w:hanging="331"/>
        <w:spacing w:after="0" w:line="249" w:lineRule="auto"/>
        <w:tabs>
          <w:tab w:leader="none" w:pos="1628" w:val="left"/>
        </w:tabs>
        <w:numPr>
          <w:ilvl w:val="2"/>
          <w:numId w:val="39"/>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become immediately vested. Upon vesting, such RSUs will be settled within thirty (30) days after the date of the Participant’s death</w:t>
      </w:r>
    </w:p>
    <w:p>
      <w:pPr>
        <w:spacing w:after="0" w:line="237" w:lineRule="exact"/>
        <w:rPr>
          <w:rFonts w:ascii="Arial" w:cs="Arial" w:eastAsia="Arial" w:hAnsi="Arial"/>
          <w:sz w:val="20"/>
          <w:szCs w:val="20"/>
          <w:color w:val="auto"/>
        </w:rPr>
      </w:pPr>
    </w:p>
    <w:p>
      <w:pPr>
        <w:jc w:val="both"/>
        <w:ind w:left="328" w:hanging="328"/>
        <w:spacing w:after="0" w:line="263" w:lineRule="auto"/>
        <w:tabs>
          <w:tab w:leader="none" w:pos="328" w:val="left"/>
        </w:tabs>
        <w:numPr>
          <w:ilvl w:val="0"/>
          <w:numId w:val="40"/>
        </w:numPr>
        <w:rPr>
          <w:rFonts w:ascii="Arial" w:cs="Arial" w:eastAsia="Arial" w:hAnsi="Arial"/>
          <w:sz w:val="22"/>
          <w:szCs w:val="22"/>
          <w:color w:val="auto"/>
        </w:rPr>
      </w:pPr>
      <w:r>
        <w:rPr>
          <w:rFonts w:ascii="Arial" w:cs="Arial" w:eastAsia="Arial" w:hAnsi="Arial"/>
          <w:sz w:val="20"/>
          <w:szCs w:val="20"/>
          <w:b w:val="1"/>
          <w:bCs w:val="1"/>
          <w:color w:val="auto"/>
        </w:rPr>
        <w:t>Change in Control</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In the event the Company undergoes a “Change in Control” as defined in Section 11 of the</w:t>
      </w:r>
      <w:r>
        <w:rPr>
          <w:rFonts w:ascii="Arial" w:cs="Arial" w:eastAsia="Arial" w:hAnsi="Arial"/>
          <w:sz w:val="20"/>
          <w:szCs w:val="20"/>
          <w:b w:val="1"/>
          <w:bCs w:val="1"/>
          <w:color w:val="auto"/>
        </w:rPr>
        <w:t xml:space="preserve"> </w:t>
      </w:r>
      <w:r>
        <w:rPr>
          <w:rFonts w:ascii="Arial" w:cs="Arial" w:eastAsia="Arial" w:hAnsi="Arial"/>
          <w:sz w:val="21"/>
          <w:szCs w:val="21"/>
          <w:color w:val="auto"/>
        </w:rPr>
        <w:t>Plan, ECP Awards shall be treated as provided in Section 11 of the Plan. For the avoidance of doubt, Matched PRSUs and RSUs shall be settled within thirty (30) days following the date they become free of all restrictions, limitation and conditions and become fully vested as provided in Section 11 of the Plan.</w:t>
      </w:r>
    </w:p>
    <w:p>
      <w:pPr>
        <w:spacing w:after="0" w:line="207" w:lineRule="exact"/>
        <w:rPr>
          <w:rFonts w:ascii="Arial" w:cs="Arial" w:eastAsia="Arial" w:hAnsi="Arial"/>
          <w:sz w:val="22"/>
          <w:szCs w:val="22"/>
          <w:color w:val="auto"/>
        </w:rPr>
      </w:pPr>
    </w:p>
    <w:p>
      <w:pPr>
        <w:jc w:val="both"/>
        <w:ind w:left="328" w:hanging="328"/>
        <w:spacing w:after="0" w:line="248" w:lineRule="auto"/>
        <w:tabs>
          <w:tab w:leader="none" w:pos="328"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any ECP Award paid</w:t>
      </w:r>
      <w:r>
        <w:rPr>
          <w:rFonts w:ascii="Arial" w:cs="Arial" w:eastAsia="Arial" w:hAnsi="Arial"/>
          <w:sz w:val="22"/>
          <w:szCs w:val="22"/>
          <w:b w:val="1"/>
          <w:bCs w:val="1"/>
          <w:color w:val="auto"/>
        </w:rPr>
        <w:t xml:space="preserve"> </w:t>
      </w:r>
      <w:r>
        <w:rPr>
          <w:rFonts w:ascii="Arial" w:cs="Arial" w:eastAsia="Arial" w:hAnsi="Arial"/>
          <w:sz w:val="22"/>
          <w:szCs w:val="22"/>
          <w:color w:val="auto"/>
        </w:rPr>
        <w:t>or payable in connection with the ECP shall be subject to the clawback, recoupment and forfeiture provisions of Section 32 of the Plan and Section 9 of the ESP. By acknowledging the ECP Award Agreement, the Participant acknowledges that any and all ECP Awards previously granted to the Participant prior to the Grant Date, and any other cash or Shares provided to the Participant following the Grant Date and under the ECP Award or otherwise under the Plan, are subject to the provisions of Section 32 of the Plan and Section 9 of the ESP, as applicable.</w:t>
      </w:r>
    </w:p>
    <w:p>
      <w:pPr>
        <w:spacing w:after="0" w:line="223" w:lineRule="exact"/>
        <w:rPr>
          <w:rFonts w:ascii="Arial" w:cs="Arial" w:eastAsia="Arial" w:hAnsi="Arial"/>
          <w:sz w:val="22"/>
          <w:szCs w:val="22"/>
          <w:color w:val="auto"/>
        </w:rPr>
      </w:pPr>
    </w:p>
    <w:p>
      <w:pPr>
        <w:jc w:val="both"/>
        <w:ind w:left="328" w:hanging="328"/>
        <w:spacing w:after="0" w:line="258" w:lineRule="auto"/>
        <w:tabs>
          <w:tab w:leader="none" w:pos="328"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ECP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ECP Award, shall be assignable, alienable, saleable, or transferable by a Participant other than by will or by the laws of descent and distribution in accordance with Section 23 of the Plan.</w:t>
      </w:r>
    </w:p>
    <w:p>
      <w:pPr>
        <w:spacing w:after="0" w:line="210" w:lineRule="exact"/>
        <w:rPr>
          <w:rFonts w:ascii="Arial" w:cs="Arial" w:eastAsia="Arial" w:hAnsi="Arial"/>
          <w:sz w:val="22"/>
          <w:szCs w:val="22"/>
          <w:color w:val="auto"/>
        </w:rPr>
      </w:pPr>
    </w:p>
    <w:p>
      <w:pPr>
        <w:jc w:val="both"/>
        <w:ind w:left="328" w:hanging="328"/>
        <w:spacing w:after="0" w:line="248" w:lineRule="auto"/>
        <w:tabs>
          <w:tab w:leader="none" w:pos="328"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 Notwithstanding anything herein or in the Plan to the contrary, no payment or settlement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Common Stock that constitute “non-qualified deferred compensation” for purposes of Section 409A of the Code will be made under this ECP Award Agreement to any Participant on account of such Participant’s termination of Employment, if on such date, the Participant is a “specified employee” (within the meaning of that term under Section 409A(a)(2)(B) of the Code, or any successor provision thereto) until the date which is the earlier of (i) the expiration of the six (6)-month period measured from the date of such Participant’s termination of Employment and (ii) the date of Participant’s death.</w:t>
      </w:r>
    </w:p>
    <w:p>
      <w:pPr>
        <w:spacing w:after="0" w:line="223" w:lineRule="exact"/>
        <w:rPr>
          <w:rFonts w:ascii="Arial" w:cs="Arial" w:eastAsia="Arial" w:hAnsi="Arial"/>
          <w:sz w:val="22"/>
          <w:szCs w:val="22"/>
          <w:color w:val="auto"/>
        </w:rPr>
      </w:pPr>
    </w:p>
    <w:p>
      <w:pPr>
        <w:ind w:left="328" w:hanging="328"/>
        <w:spacing w:after="0"/>
        <w:tabs>
          <w:tab w:leader="none" w:pos="328"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Administration.</w:t>
      </w:r>
    </w:p>
    <w:p>
      <w:pPr>
        <w:spacing w:after="0" w:line="245" w:lineRule="exact"/>
        <w:rPr>
          <w:rFonts w:ascii="Arial" w:cs="Arial" w:eastAsia="Arial" w:hAnsi="Arial"/>
          <w:sz w:val="22"/>
          <w:szCs w:val="22"/>
          <w:color w:val="auto"/>
        </w:rPr>
      </w:pPr>
    </w:p>
    <w:p>
      <w:pPr>
        <w:ind w:left="968" w:hanging="428"/>
        <w:spacing w:after="0" w:line="249" w:lineRule="auto"/>
        <w:tabs>
          <w:tab w:leader="none" w:pos="968" w:val="left"/>
        </w:tabs>
        <w:numPr>
          <w:ilvl w:val="1"/>
          <w:numId w:val="40"/>
        </w:numPr>
        <w:rPr>
          <w:rFonts w:ascii="Arial" w:cs="Arial" w:eastAsia="Arial" w:hAnsi="Arial"/>
          <w:sz w:val="20"/>
          <w:szCs w:val="20"/>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highlight w:val="white"/>
        </w:rPr>
        <w:t>. The Board has delegated administrative authority to the Committee and the ECP shall be</w:t>
      </w:r>
      <w:r>
        <w:rPr>
          <w:rFonts w:ascii="Arial" w:cs="Arial" w:eastAsia="Arial" w:hAnsi="Arial"/>
          <w:sz w:val="22"/>
          <w:szCs w:val="22"/>
          <w:color w:val="auto"/>
        </w:rPr>
        <w:t xml:space="preserve"> administered by the Committee or a subset of the Committee that satisfies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-6503035</wp:posOffset>
            </wp:positionV>
            <wp:extent cx="32073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7385" cy="146050"/>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-6014085</wp:posOffset>
            </wp:positionV>
            <wp:extent cx="39274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27475" cy="146050"/>
                    </a:xfrm>
                    <a:prstGeom prst="rect">
                      <a:avLst/>
                    </a:prstGeom>
                    <a:noFill/>
                  </pic:spPr>
                </pic:pic>
              </a:graphicData>
            </a:graphic>
          </wp:anchor>
        </w:drawing>
      </w:r>
    </w:p>
    <w:p>
      <w:pPr>
        <w:sectPr>
          <w:pgSz w:w="11900" w:h="16838" w:orient="portrait"/>
          <w:cols w:equalWidth="0" w:num="1">
            <w:col w:w="11088"/>
          </w:cols>
          <w:pgMar w:left="572" w:top="903" w:right="239" w:bottom="1440" w:gutter="0" w:footer="0" w:header="0"/>
        </w:sectPr>
      </w:pPr>
    </w:p>
    <w:bookmarkStart w:id="45" w:name="page46"/>
    <w:bookmarkEnd w:id="45"/>
    <w:p>
      <w:pPr>
        <w:ind w:left="968"/>
        <w:spacing w:after="0"/>
        <w:rPr>
          <w:sz w:val="20"/>
          <w:szCs w:val="20"/>
          <w:color w:val="auto"/>
        </w:rPr>
      </w:pPr>
      <w:r>
        <w:rPr>
          <w:rFonts w:ascii="Arial" w:cs="Arial" w:eastAsia="Arial" w:hAnsi="Arial"/>
          <w:sz w:val="22"/>
          <w:szCs w:val="22"/>
          <w:color w:val="auto"/>
        </w:rPr>
        <w:t>the requirements of Section 162(m) of the Code with respect to any Performance-Based Awards.</w:t>
      </w:r>
    </w:p>
    <w:p>
      <w:pPr>
        <w:spacing w:after="0" w:line="260" w:lineRule="exact"/>
        <w:rPr>
          <w:sz w:val="20"/>
          <w:szCs w:val="20"/>
          <w:color w:val="auto"/>
        </w:rPr>
      </w:pPr>
    </w:p>
    <w:p>
      <w:pPr>
        <w:jc w:val="both"/>
        <w:ind w:left="968" w:hanging="428"/>
        <w:spacing w:after="0" w:line="258" w:lineRule="auto"/>
        <w:tabs>
          <w:tab w:leader="none" w:pos="968" w:val="left"/>
        </w:tabs>
        <w:numPr>
          <w:ilvl w:val="1"/>
          <w:numId w:val="41"/>
        </w:numPr>
        <w:rPr>
          <w:rFonts w:ascii="Arial" w:cs="Arial" w:eastAsia="Arial" w:hAnsi="Arial"/>
          <w:sz w:val="19"/>
          <w:szCs w:val="19"/>
          <w:color w:val="auto"/>
        </w:rPr>
      </w:pPr>
      <w:r>
        <w:rPr>
          <w:rFonts w:ascii="Arial" w:cs="Arial" w:eastAsia="Arial" w:hAnsi="Arial"/>
          <w:sz w:val="21"/>
          <w:szCs w:val="21"/>
          <w:u w:val="single" w:color="auto"/>
          <w:color w:val="auto"/>
        </w:rPr>
        <w:t>Powers and Duties</w:t>
      </w:r>
      <w:r>
        <w:rPr>
          <w:rFonts w:ascii="Arial" w:cs="Arial" w:eastAsia="Arial" w:hAnsi="Arial"/>
          <w:sz w:val="21"/>
          <w:szCs w:val="21"/>
          <w:color w:val="auto"/>
          <w:highlight w:val="white"/>
        </w:rPr>
        <w:t>. The Committee shall have sole discretion and authority to make any and all</w:t>
      </w:r>
      <w:r>
        <w:rPr>
          <w:rFonts w:ascii="Arial" w:cs="Arial" w:eastAsia="Arial" w:hAnsi="Arial"/>
          <w:sz w:val="21"/>
          <w:szCs w:val="21"/>
          <w:color w:val="auto"/>
        </w:rPr>
        <w:t xml:space="preserve"> determinations necessary or advisable for administration of the ECP and may adopt, amend or revoke any rule or regulation established for the proper administration of the ECP. The Committee shall have the ability to modify the ECP provisions, to the extent necessary, or delegate such authority, to accommodate any changes in law or regulations in jurisdictions in which Participants will receive ECP Awards. The Committee or its designee will oversee ECP Award calculations. All interpretations, decisions, or determinations made by the Committee or its designee pursuant to the ECP shall be final and conclusive.</w:t>
      </w:r>
    </w:p>
    <w:p>
      <w:pPr>
        <w:spacing w:after="0" w:line="209" w:lineRule="exact"/>
        <w:rPr>
          <w:rFonts w:ascii="Arial" w:cs="Arial" w:eastAsia="Arial" w:hAnsi="Arial"/>
          <w:sz w:val="19"/>
          <w:szCs w:val="19"/>
          <w:color w:val="auto"/>
        </w:rPr>
      </w:pPr>
    </w:p>
    <w:p>
      <w:pPr>
        <w:jc w:val="both"/>
        <w:ind w:left="328" w:hanging="328"/>
        <w:spacing w:after="0" w:line="258" w:lineRule="auto"/>
        <w:tabs>
          <w:tab w:leader="none" w:pos="328"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ECP. </w:t>
      </w:r>
      <w:r>
        <w:rPr>
          <w:rFonts w:ascii="Arial" w:cs="Arial" w:eastAsia="Arial" w:hAnsi="Arial"/>
          <w:sz w:val="22"/>
          <w:szCs w:val="22"/>
          <w:color w:val="auto"/>
        </w:rPr>
        <w:t>The Committee has the right to revise, modify, or terminate the ECP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at any time or for any reason, and the right to modify any ECP Award amount in accordance with Section 31 of the Plan.</w:t>
      </w:r>
    </w:p>
    <w:p>
      <w:pPr>
        <w:spacing w:after="0" w:line="210" w:lineRule="exact"/>
        <w:rPr>
          <w:rFonts w:ascii="Arial" w:cs="Arial" w:eastAsia="Arial" w:hAnsi="Arial"/>
          <w:sz w:val="22"/>
          <w:szCs w:val="22"/>
          <w:color w:val="auto"/>
        </w:rPr>
      </w:pPr>
    </w:p>
    <w:p>
      <w:pPr>
        <w:jc w:val="both"/>
        <w:ind w:left="328" w:hanging="328"/>
        <w:spacing w:after="0" w:line="249" w:lineRule="auto"/>
        <w:tabs>
          <w:tab w:leader="none" w:pos="328"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ECP Award or these ECP Terms and Conditions in accordance with Section 20 of the Plan. The Participant acknowledges the Company is authorized to withhold taxes due, or potentially payable in connection with any ECP Award Payment in accordance with Section 20 of the Plan. Further, the Participant agrees to any deduction or setoff by the Company as provided under Section 26 of the Plan.</w:t>
      </w:r>
    </w:p>
    <w:p>
      <w:pPr>
        <w:spacing w:after="0" w:line="221" w:lineRule="exact"/>
        <w:rPr>
          <w:rFonts w:ascii="Arial" w:cs="Arial" w:eastAsia="Arial" w:hAnsi="Arial"/>
          <w:sz w:val="22"/>
          <w:szCs w:val="22"/>
          <w:color w:val="auto"/>
        </w:rPr>
      </w:pPr>
    </w:p>
    <w:p>
      <w:pPr>
        <w:jc w:val="both"/>
        <w:ind w:left="328" w:hanging="328"/>
        <w:spacing w:after="0" w:line="251" w:lineRule="auto"/>
        <w:tabs>
          <w:tab w:leader="none" w:pos="328"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ECP Award or these ECP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ECP Award or these ECP Terms and Conditions. These ECP Terms and Conditions shall apply to and bind the Participant and the Company and their respective permitted assignees and transferees, heirs, legatees, executors, administrators and legal successors.</w:t>
      </w:r>
    </w:p>
    <w:p>
      <w:pPr>
        <w:spacing w:after="0" w:line="216" w:lineRule="exact"/>
        <w:rPr>
          <w:rFonts w:ascii="Arial" w:cs="Arial" w:eastAsia="Arial" w:hAnsi="Arial"/>
          <w:sz w:val="22"/>
          <w:szCs w:val="22"/>
          <w:color w:val="auto"/>
        </w:rPr>
      </w:pPr>
    </w:p>
    <w:p>
      <w:pPr>
        <w:jc w:val="both"/>
        <w:ind w:left="328" w:hanging="328"/>
        <w:spacing w:after="0" w:line="276" w:lineRule="auto"/>
        <w:tabs>
          <w:tab w:leader="none" w:pos="328" w:val="left"/>
        </w:tabs>
        <w:numPr>
          <w:ilvl w:val="0"/>
          <w:numId w:val="42"/>
        </w:numPr>
        <w:rPr>
          <w:rFonts w:ascii="Arial" w:cs="Arial" w:eastAsia="Arial" w:hAnsi="Arial"/>
          <w:sz w:val="21"/>
          <w:szCs w:val="21"/>
          <w:color w:val="auto"/>
        </w:rPr>
      </w:pPr>
      <w:r>
        <w:rPr>
          <w:rFonts w:ascii="Arial" w:cs="Arial" w:eastAsia="Arial" w:hAnsi="Arial"/>
          <w:sz w:val="21"/>
          <w:szCs w:val="21"/>
          <w:b w:val="1"/>
          <w:bCs w:val="1"/>
          <w:color w:val="auto"/>
        </w:rPr>
        <w:t>Dispute Resolution</w:t>
      </w:r>
      <w:r>
        <w:rPr>
          <w:rFonts w:ascii="Arial" w:cs="Arial" w:eastAsia="Arial" w:hAnsi="Arial"/>
          <w:sz w:val="21"/>
          <w:szCs w:val="21"/>
          <w:color w:val="auto"/>
        </w:rPr>
        <w:t>. These ECP Terms and Conditions, the ECP Award Agreement and the Plan constitute the</w:t>
      </w:r>
      <w:r>
        <w:rPr>
          <w:rFonts w:ascii="Arial" w:cs="Arial" w:eastAsia="Arial" w:hAnsi="Arial"/>
          <w:sz w:val="21"/>
          <w:szCs w:val="21"/>
          <w:b w:val="1"/>
          <w:bCs w:val="1"/>
          <w:color w:val="auto"/>
        </w:rPr>
        <w:t xml:space="preserve"> </w:t>
      </w:r>
      <w:r>
        <w:rPr>
          <w:rFonts w:ascii="Arial" w:cs="Arial" w:eastAsia="Arial" w:hAnsi="Arial"/>
          <w:sz w:val="21"/>
          <w:szCs w:val="21"/>
          <w:color w:val="auto"/>
        </w:rPr>
        <w:t>entire agreement of the parties with respect to the subject matter hereof and supersede in their entirety all prior undertakings and agreements of the Company and the Participant with respect to the subject matter hereof.</w:t>
      </w:r>
    </w:p>
    <w:p>
      <w:pPr>
        <w:spacing w:after="0" w:line="193" w:lineRule="exact"/>
        <w:rPr>
          <w:rFonts w:ascii="Arial" w:cs="Arial" w:eastAsia="Arial" w:hAnsi="Arial"/>
          <w:sz w:val="21"/>
          <w:szCs w:val="21"/>
          <w:color w:val="auto"/>
        </w:rPr>
      </w:pPr>
    </w:p>
    <w:p>
      <w:pPr>
        <w:ind w:left="328" w:right="20" w:hanging="328"/>
        <w:spacing w:after="0" w:line="274" w:lineRule="auto"/>
        <w:tabs>
          <w:tab w:leader="none" w:pos="328"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33 of the Plan.</w:t>
      </w:r>
    </w:p>
    <w:p>
      <w:pPr>
        <w:spacing w:after="0" w:line="192" w:lineRule="exact"/>
        <w:rPr>
          <w:rFonts w:ascii="Arial" w:cs="Arial" w:eastAsia="Arial" w:hAnsi="Arial"/>
          <w:sz w:val="22"/>
          <w:szCs w:val="22"/>
          <w:color w:val="auto"/>
        </w:rPr>
      </w:pPr>
    </w:p>
    <w:p>
      <w:pPr>
        <w:jc w:val="both"/>
        <w:ind w:left="328" w:hanging="328"/>
        <w:spacing w:after="0" w:line="269" w:lineRule="auto"/>
        <w:tabs>
          <w:tab w:leader="none" w:pos="328" w:val="left"/>
        </w:tabs>
        <w:numPr>
          <w:ilvl w:val="0"/>
          <w:numId w:val="42"/>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Company may, in its sole discretion, deliver any documents related to this ECP Award</w:t>
      </w:r>
      <w:r>
        <w:rPr>
          <w:rFonts w:ascii="Arial" w:cs="Arial" w:eastAsia="Arial" w:hAnsi="Arial"/>
          <w:sz w:val="21"/>
          <w:szCs w:val="21"/>
          <w:b w:val="1"/>
          <w:bCs w:val="1"/>
          <w:color w:val="auto"/>
        </w:rPr>
        <w:t xml:space="preserve"> </w:t>
      </w:r>
      <w:r>
        <w:rPr>
          <w:rFonts w:ascii="Arial" w:cs="Arial" w:eastAsia="Arial" w:hAnsi="Arial"/>
          <w:sz w:val="21"/>
          <w:szCs w:val="21"/>
          <w:color w:val="auto"/>
        </w:rPr>
        <w:t>or ECP Award Agreement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ectPr>
          <w:pgSz w:w="11900" w:h="16838" w:orient="portrait"/>
          <w:cols w:equalWidth="0" w:num="1">
            <w:col w:w="11088"/>
          </w:cols>
          <w:pgMar w:left="572" w:top="903" w:right="239" w:bottom="1440" w:gutter="0" w:footer="0" w:header="0"/>
        </w:sectPr>
      </w:pPr>
    </w:p>
    <w:bookmarkStart w:id="46" w:name="page47"/>
    <w:bookmarkEnd w:id="46"/>
    <w:p>
      <w:pPr>
        <w:jc w:val="both"/>
        <w:ind w:left="328" w:hanging="328"/>
        <w:spacing w:after="0" w:line="258" w:lineRule="auto"/>
        <w:tabs>
          <w:tab w:leader="none" w:pos="328"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ECP Award Agreement and the ECP Terms and Conditions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of the United States without regard to principles of conflict of law.</w:t>
      </w:r>
    </w:p>
    <w:p>
      <w:pPr>
        <w:spacing w:after="0" w:line="210" w:lineRule="exact"/>
        <w:rPr>
          <w:rFonts w:ascii="Arial" w:cs="Arial" w:eastAsia="Arial" w:hAnsi="Arial"/>
          <w:sz w:val="22"/>
          <w:szCs w:val="22"/>
          <w:color w:val="auto"/>
        </w:rPr>
      </w:pPr>
    </w:p>
    <w:p>
      <w:pPr>
        <w:jc w:val="both"/>
        <w:ind w:left="328" w:hanging="328"/>
        <w:spacing w:after="0" w:line="245" w:lineRule="auto"/>
        <w:tabs>
          <w:tab w:leader="none" w:pos="328"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this ECP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or directorships held in the Company, and details of all options or any other entitlement to Shares awarded, canceled, purchased, vested, unvested or outstanding in Participant’s favor (“</w:t>
      </w:r>
      <w:r>
        <w:rPr>
          <w:rFonts w:ascii="Arial" w:cs="Arial" w:eastAsia="Arial" w:hAnsi="Arial"/>
          <w:sz w:val="22"/>
          <w:szCs w:val="22"/>
          <w:b w:val="1"/>
          <w:bCs w:val="1"/>
          <w:u w:val="single" w:color="auto"/>
          <w:color w:val="auto"/>
        </w:rPr>
        <w:t>Data</w:t>
      </w:r>
      <w:r>
        <w:rPr>
          <w:rFonts w:ascii="Arial" w:cs="Arial" w:eastAsia="Arial" w:hAnsi="Arial"/>
          <w:sz w:val="22"/>
          <w:szCs w:val="22"/>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or other equity of the Company on Participant’s behalf to a broker or other third party with whom Participant may elect to deposit any Shares or equity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27" w:lineRule="exact"/>
        <w:rPr>
          <w:rFonts w:ascii="Arial" w:cs="Arial" w:eastAsia="Arial" w:hAnsi="Arial"/>
          <w:sz w:val="22"/>
          <w:szCs w:val="22"/>
          <w:color w:val="auto"/>
        </w:rPr>
      </w:pPr>
    </w:p>
    <w:p>
      <w:pPr>
        <w:jc w:val="both"/>
        <w:ind w:left="328" w:hanging="328"/>
        <w:spacing w:after="0" w:line="246" w:lineRule="auto"/>
        <w:tabs>
          <w:tab w:leader="none" w:pos="328"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ECP Terms and Conditions to the contrary, the Purchased</w:t>
      </w:r>
      <w:r>
        <w:rPr>
          <w:rFonts w:ascii="Arial" w:cs="Arial" w:eastAsia="Arial" w:hAnsi="Arial"/>
          <w:sz w:val="22"/>
          <w:szCs w:val="22"/>
          <w:b w:val="1"/>
          <w:bCs w:val="1"/>
          <w:color w:val="auto"/>
        </w:rPr>
        <w:t xml:space="preserve"> </w:t>
      </w:r>
      <w:r>
        <w:rPr>
          <w:rFonts w:ascii="Arial" w:cs="Arial" w:eastAsia="Arial" w:hAnsi="Arial"/>
          <w:sz w:val="22"/>
          <w:szCs w:val="22"/>
          <w:color w:val="auto"/>
        </w:rPr>
        <w:t>Shares, Matched PRSUs, SSARs and RSUs shall be subject to any special terms and conditions for Participant’s country of residence (and country of Employment, if different) set forth in an addendum to these ECP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Purchased Shares, Matched PRSUs, SSARs and RSUs and the Plan (or the Company may establish alternative terms and conditions as may be necessary or advisable to accommodate Participant’s transfer). Any applicable Addendum shall constitute part of these ECP Terms and Conditions.</w:t>
      </w:r>
    </w:p>
    <w:p>
      <w:pPr>
        <w:spacing w:after="0" w:line="186" w:lineRule="exact"/>
        <w:rPr>
          <w:rFonts w:ascii="Arial" w:cs="Arial" w:eastAsia="Arial" w:hAnsi="Arial"/>
          <w:sz w:val="22"/>
          <w:szCs w:val="22"/>
          <w:color w:val="auto"/>
        </w:rPr>
      </w:pPr>
    </w:p>
    <w:p>
      <w:pPr>
        <w:jc w:val="both"/>
        <w:ind w:left="328" w:hanging="328"/>
        <w:spacing w:after="0" w:line="248" w:lineRule="auto"/>
        <w:tabs>
          <w:tab w:leader="none" w:pos="328"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Private Placement. </w:t>
      </w:r>
      <w:r>
        <w:rPr>
          <w:rFonts w:ascii="Arial" w:cs="Arial" w:eastAsia="Arial" w:hAnsi="Arial"/>
          <w:sz w:val="22"/>
          <w:szCs w:val="22"/>
          <w:color w:val="auto"/>
        </w:rPr>
        <w:t>The grant of Matched PRSUs, SSARs and RSUs to Participants outside of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and the purchase by Participants of Purchased Shares is not intended to be a public offering of securities in Participant’s country of residence (and country of Employment, if different). The Company has not submitted any registration statement, prospectus or other filings with the local securities authorities (unless otherwise required under local law) outside of the United States, and the grant of the Matched PRSUs, SSARs and RSUs and purchase of Purchased Shares is not subject to the supervision of the local securities authorities outside of the United States.</w:t>
      </w:r>
    </w:p>
    <w:p>
      <w:pPr>
        <w:sectPr>
          <w:pgSz w:w="11900" w:h="16838" w:orient="portrait"/>
          <w:cols w:equalWidth="0" w:num="1">
            <w:col w:w="11088"/>
          </w:cols>
          <w:pgMar w:left="572" w:top="877" w:right="239" w:bottom="1440" w:gutter="0" w:footer="0" w:header="0"/>
        </w:sectPr>
      </w:pPr>
    </w:p>
    <w:bookmarkStart w:id="47" w:name="page48"/>
    <w:bookmarkEnd w:id="47"/>
    <w:p>
      <w:pPr>
        <w:jc w:val="both"/>
        <w:ind w:left="328" w:hanging="328"/>
        <w:spacing w:after="0" w:line="251" w:lineRule="auto"/>
        <w:tabs>
          <w:tab w:leader="none" w:pos="328"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these ECP Terms and Conditions or the ECP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3"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International Flavors &amp; Fragrances Inc.</w:t>
      </w:r>
    </w:p>
    <w:p>
      <w:pPr>
        <w:ind w:left="968"/>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968"/>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Attn:</w:t>
      </w:r>
    </w:p>
    <w:p>
      <w:pPr>
        <w:spacing w:after="0" w:line="260" w:lineRule="exact"/>
        <w:rPr>
          <w:sz w:val="20"/>
          <w:szCs w:val="20"/>
          <w:color w:val="auto"/>
        </w:rPr>
      </w:pPr>
    </w:p>
    <w:p>
      <w:pPr>
        <w:ind w:left="968"/>
        <w:spacing w:after="0"/>
        <w:rPr>
          <w:sz w:val="20"/>
          <w:szCs w:val="20"/>
          <w:color w:val="auto"/>
        </w:rPr>
      </w:pPr>
      <w:r>
        <w:rPr>
          <w:rFonts w:ascii="Arial" w:cs="Arial" w:eastAsia="Arial" w:hAnsi="Arial"/>
          <w:sz w:val="22"/>
          <w:szCs w:val="22"/>
          <w:color w:val="auto"/>
        </w:rPr>
        <w:t>If to the Participant:</w:t>
      </w:r>
    </w:p>
    <w:p>
      <w:pPr>
        <w:spacing w:after="0" w:line="4" w:lineRule="exact"/>
        <w:rPr>
          <w:sz w:val="20"/>
          <w:szCs w:val="20"/>
          <w:color w:val="auto"/>
        </w:rPr>
      </w:pPr>
    </w:p>
    <w:p>
      <w:pPr>
        <w:ind w:left="968"/>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ectPr>
          <w:pgSz w:w="11900" w:h="16838" w:orient="portrait"/>
          <w:cols w:equalWidth="0" w:num="1">
            <w:col w:w="11088"/>
          </w:cols>
          <w:pgMar w:left="572" w:top="87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4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4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9, 2015</w:t>
      </w:r>
    </w:p>
    <w:p>
      <w:pPr>
        <w:spacing w:after="0" w:line="63"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6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Alison A. Cornell, certify that:</w:t>
      </w:r>
    </w:p>
    <w:p>
      <w:pPr>
        <w:spacing w:after="0" w:line="22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4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4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9, 2015</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Alison A. Cornell</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Alison A. Cornell</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In connection with the Quarterly Report on Form 10-Q of International Flavors &amp; Fragrances Inc. (the "Company") for the quarterly period ended September 30, 2015 as filed with the Securities and Exchange Commission on the date hereof (the "Report"), Andreas Fibig, as Chief Executive Officer, and Alison A. Cornell, as Chief Financial Officer, each hereby certifies, pursuant to 18 U.S.C. Section 1350, as adopted pursuant to Section 906 of the Sarbanes-Oxley Act of 2002, that, to the best of his or her knowledge:</w:t>
      </w:r>
    </w:p>
    <w:p>
      <w:pPr>
        <w:spacing w:after="0" w:line="175" w:lineRule="exact"/>
        <w:rPr>
          <w:sz w:val="20"/>
          <w:szCs w:val="20"/>
          <w:color w:val="auto"/>
        </w:rPr>
      </w:pPr>
    </w:p>
    <w:p>
      <w:pPr>
        <w:ind w:right="2080" w:firstLine="8"/>
        <w:spacing w:after="0" w:line="479" w:lineRule="auto"/>
        <w:tabs>
          <w:tab w:leader="none" w:pos="2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November 9, 2015</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Alison A. Cornell</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Alison A. Cornell</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November 9, 2015</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lvl w:ilvl="1">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lvl w:ilvl="1">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upperLetter"/>
      <w:start w:val="1"/>
    </w:lvl>
    <w:lvl w:ilvl="1">
      <w:lvlJc w:val="left"/>
      <w:lvlText w:val="(%2)"/>
      <w:numFmt w:val="decimal"/>
      <w:start w:val="1"/>
    </w:lvl>
  </w:abstractNum>
  <w:abstractNum w:abstractNumId="17">
    <w:nsid w:val="22221A70"/>
    <w:multiLevelType w:val="hybridMultilevel"/>
    <w:lvl w:ilvl="0">
      <w:lvlJc w:val="left"/>
      <w:lvlText w:val="%1."/>
      <w:numFmt w:val="upperLetter"/>
      <w:start w:val="2"/>
    </w:lvl>
    <w:lvl w:ilvl="1">
      <w:lvlJc w:val="left"/>
      <w:lvlText w:val="%2"/>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32"/>
    </w:lvl>
  </w:abstractNum>
  <w:abstractNum w:abstractNumId="20">
    <w:nsid w:val="614FD4A1"/>
    <w:multiLevelType w:val="hybridMultilevel"/>
    <w:lvl w:ilvl="0">
      <w:lvlJc w:val="left"/>
      <w:lvlText w:val="%1"/>
      <w:numFmt w:val="decimal"/>
      <w:start w:val="32"/>
    </w:lvl>
  </w:abstractNum>
  <w:abstractNum w:abstractNumId="21">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
    <w:nsid w:val="5577F8E1"/>
    <w:multiLevelType w:val="hybridMultilevel"/>
    <w:lvl w:ilvl="0">
      <w:lvlJc w:val="left"/>
      <w:lvlText w:val="(%1)"/>
      <w:numFmt w:val="lowerLetter"/>
      <w:start w:val="2"/>
    </w:lvl>
    <w:lvl w:ilvl="1">
      <w:lvlJc w:val="left"/>
      <w:lvlText w:val="(%2)"/>
      <w:numFmt w:val="lowerRoman"/>
      <w:start w:val="1"/>
    </w:lvl>
  </w:abstractNum>
  <w:abstractNum w:abstractNumId="23">
    <w:nsid w:val="440BADFC"/>
    <w:multiLevelType w:val="hybridMultilevel"/>
    <w:lvl w:ilvl="0">
      <w:lvlJc w:val="left"/>
      <w:lvlText w:val="%1"/>
      <w:numFmt w:val="lowerLetter"/>
      <w:start w:val="1"/>
    </w:lvl>
    <w:lvl w:ilvl="1">
      <w:lvlJc w:val="left"/>
      <w:lvlText w:val="(%2)"/>
      <w:numFmt w:val="lowerLetter"/>
      <w:start w:val="61"/>
    </w:lvl>
  </w:abstractNum>
  <w:abstractNum w:abstractNumId="24">
    <w:nsid w:val="5072367"/>
    <w:multiLevelType w:val="hybridMultilevel"/>
    <w:lvl w:ilvl="0">
      <w:lvlJc w:val="left"/>
      <w:lvlText w:val="(%1)"/>
      <w:numFmt w:val="lowerLetter"/>
      <w:start w:val="5"/>
    </w:lvl>
    <w:lvl w:ilvl="1">
      <w:lvlJc w:val="left"/>
      <w:lvlText w:val="(%2)"/>
      <w:numFmt w:val="lowerLetter"/>
      <w:start w:val="9"/>
    </w:lvl>
  </w:abstractNum>
  <w:abstractNum w:abstractNumId="25">
    <w:nsid w:val="3804823E"/>
    <w:multiLevelType w:val="hybridMultilevel"/>
    <w:lvl w:ilvl="0">
      <w:lvlJc w:val="left"/>
      <w:lvlText w:val="%1"/>
      <w:numFmt w:val="decimal"/>
      <w:start w:val="1"/>
    </w:lvl>
    <w:lvl w:ilvl="1">
      <w:lvlJc w:val="left"/>
      <w:lvlText w:val="(%2)"/>
      <w:numFmt w:val="lowerRoman"/>
      <w:start w:val="2"/>
    </w:lvl>
  </w:abstractNum>
  <w:abstractNum w:abstractNumId="26">
    <w:nsid w:val="77465F01"/>
    <w:multiLevelType w:val="hybridMultilevel"/>
    <w:lvl w:ilvl="0">
      <w:lvlJc w:val="left"/>
      <w:lvlText w:val="%1."/>
      <w:numFmt w:val="decimal"/>
      <w:start w:val="6"/>
    </w:lvl>
    <w:lvl w:ilvl="1">
      <w:lvlJc w:val="left"/>
      <w:lvlText w:val="%2"/>
      <w:numFmt w:val="lowerRoman"/>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2"/>
    </w:lvl>
  </w:abstractNum>
  <w:abstractNum w:abstractNumId="29">
    <w:nsid w:val="2463B9EA"/>
    <w:multiLevelType w:val="hybridMultilevel"/>
    <w:lvl w:ilvl="0">
      <w:lvlJc w:val="left"/>
      <w:lvlText w:val="%1"/>
      <w:numFmt w:val="decimal"/>
      <w:start w:val="1"/>
    </w:lvl>
    <w:lvl w:ilvl="1">
      <w:lvlJc w:val="left"/>
      <w:lvlText w:val="(%2)"/>
      <w:numFmt w:val="lowerLetter"/>
      <w:start w:val="4"/>
    </w:lvl>
  </w:abstractNum>
  <w:abstractNum w:abstractNumId="30">
    <w:nsid w:val="5E884ADC"/>
    <w:multiLevelType w:val="hybridMultilevel"/>
    <w:lvl w:ilvl="0">
      <w:lvlJc w:val="left"/>
      <w:lvlText w:val="%1."/>
      <w:numFmt w:val="decimal"/>
      <w:start w:val="7"/>
    </w:lvl>
    <w:lvl w:ilvl="1">
      <w:lvlJc w:val="left"/>
      <w:lvlText w:val="(%2)"/>
      <w:numFmt w:val="lowerLetter"/>
      <w:start w:val="1"/>
    </w:lvl>
  </w:abstractNum>
  <w:abstractNum w:abstractNumId="31">
    <w:nsid w:val="51EAD36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32">
    <w:nsid w:val="2D51779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0"/>
    </w:lvl>
    <w:lvl w:ilvl="3">
      <w:lvlJc w:val="left"/>
      <w:lvlText w:val="(%4)"/>
      <w:numFmt w:val="lowerRoman"/>
      <w:start w:val="3"/>
    </w:lvl>
  </w:abstractNum>
  <w:abstractNum w:abstractNumId="33">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4">
    <w:nsid w:val="153EA438"/>
    <w:multiLevelType w:val="hybridMultilevel"/>
    <w:lvl w:ilvl="0">
      <w:lvlJc w:val="left"/>
      <w:lvlText w:val="%1"/>
      <w:numFmt w:val="lowerLetter"/>
      <w:start w:val="1"/>
    </w:lvl>
    <w:lvl w:ilvl="1">
      <w:lvlJc w:val="left"/>
      <w:lvlText w:val="(%2)"/>
      <w:numFmt w:val="lowerLetter"/>
      <w:start w:val="61"/>
    </w:lvl>
  </w:abstractNum>
  <w:abstractNum w:abstractNumId="35">
    <w:nsid w:val="3855585C"/>
    <w:multiLevelType w:val="hybridMultilevel"/>
    <w:lvl w:ilvl="0">
      <w:lvlJc w:val="left"/>
      <w:lvlText w:val="(%1)"/>
      <w:numFmt w:val="lowerLetter"/>
      <w:start w:val="4"/>
    </w:lvl>
    <w:lvl w:ilvl="1">
      <w:lvlJc w:val="left"/>
      <w:lvlText w:val="(%2)"/>
      <w:numFmt w:val="lowerLetter"/>
      <w:start w:val="9"/>
    </w:lvl>
  </w:abstractNum>
  <w:abstractNum w:abstractNumId="36">
    <w:nsid w:val="70A64E2A"/>
    <w:multiLevelType w:val="hybridMultilevel"/>
    <w:lvl w:ilvl="0">
      <w:lvlJc w:val="left"/>
      <w:lvlText w:val="%1"/>
      <w:numFmt w:val="lowerLetter"/>
      <w:start w:val="1"/>
    </w:lvl>
    <w:lvl w:ilvl="1">
      <w:lvlJc w:val="left"/>
      <w:lvlText w:val="(%2)"/>
      <w:numFmt w:val="lowerRoman"/>
      <w:start w:val="2"/>
    </w:lvl>
  </w:abstractNum>
  <w:abstractNum w:abstractNumId="37">
    <w:nsid w:val="6A2342EC"/>
    <w:multiLevelType w:val="hybridMultilevel"/>
    <w:lvl w:ilvl="0">
      <w:lvlJc w:val="left"/>
      <w:lvlText w:val="(%1)"/>
      <w:numFmt w:val="lowerLetter"/>
      <w:start w:val="5"/>
    </w:lvl>
    <w:lvl w:ilvl="1">
      <w:lvlJc w:val="left"/>
      <w:lvlText w:val="%2"/>
      <w:numFmt w:val="lowerRoman"/>
      <w:start w:val="1"/>
    </w:lvl>
  </w:abstractNum>
  <w:abstractNum w:abstractNumId="38">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1D4ED4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0">
    <w:nsid w:val="725A06FB"/>
    <w:multiLevelType w:val="hybridMultilevel"/>
    <w:lvl w:ilvl="0">
      <w:lvlJc w:val="left"/>
      <w:lvlText w:val="%1"/>
      <w:numFmt w:val="decimal"/>
      <w:start w:val="1"/>
    </w:lvl>
    <w:lvl w:ilvl="1">
      <w:lvlJc w:val="left"/>
      <w:lvlText w:val="(%2)"/>
      <w:numFmt w:val="lowerLetter"/>
      <w:start w:val="2"/>
    </w:lvl>
  </w:abstractNum>
  <w:abstractNum w:abstractNumId="41">
    <w:nsid w:val="2CD89A32"/>
    <w:multiLevelType w:val="hybridMultilevel"/>
    <w:lvl w:ilvl="0">
      <w:lvlJc w:val="left"/>
      <w:lvlText w:val="%1."/>
      <w:numFmt w:val="decimal"/>
      <w:start w:val="14"/>
    </w:lvl>
    <w:lvl w:ilvl="1">
      <w:lvlJc w:val="left"/>
      <w:lvlText w:val="%2"/>
      <w:numFmt w:val="lowerLetter"/>
      <w:start w:val="1"/>
    </w:lvl>
  </w:abstractNum>
  <w:abstractNum w:abstractNumId="42">
    <w:nsid w:val="57E4CCAF"/>
    <w:multiLevelType w:val="hybridMultilevel"/>
    <w:lvl w:ilvl="0">
      <w:lvlJc w:val="left"/>
      <w:lvlText w:val="%1."/>
      <w:numFmt w:val="decimal"/>
      <w:start w:val="20"/>
    </w:lvl>
  </w:abstractNum>
  <w:abstractNum w:abstractNumId="43">
    <w:nsid w:val="7A6D8D3C"/>
    <w:multiLevelType w:val="hybridMultilevel"/>
    <w:lvl w:ilvl="0">
      <w:lvlJc w:val="left"/>
      <w:lvlText w:val="%1."/>
      <w:numFmt w:val="decimal"/>
      <w:start w:val="24"/>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2019-12-05T11:23:24Z</dcterms:created>
  <dcterms:modified xsi:type="dcterms:W3CDTF">2019-12-05T11:23:24Z</dcterms:modified>
</cp:coreProperties>
</file>