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81" w:lineRule="exact"/>
        <w:rPr>
          <w:sz w:val="24"/>
          <w:szCs w:val="24"/>
          <w:color w:val="auto"/>
        </w:rPr>
      </w:pPr>
    </w:p>
    <w:p>
      <w:pPr>
        <w:sectPr>
          <w:pgSz w:w="11900" w:h="16838" w:orient="portrait"/>
          <w:cols w:equalWidth="0" w:num="2">
            <w:col w:w="7420" w:space="720"/>
            <w:col w:w="328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280" w:space="720"/>
            <w:col w:w="3420"/>
          </w:cols>
          <w:pgMar w:left="240" w:top="733" w:right="239" w:bottom="1440" w:gutter="0" w:footer="0" w:header="0"/>
          <w:type w:val="continuous"/>
        </w:sectPr>
      </w:pPr>
    </w:p>
    <w:p>
      <w:pPr>
        <w:ind w:left="3820"/>
        <w:spacing w:after="0"/>
        <w:rPr>
          <w:sz w:val="20"/>
          <w:szCs w:val="20"/>
          <w:color w:val="auto"/>
        </w:rPr>
      </w:pPr>
      <w:r>
        <w:rPr>
          <w:rFonts w:ascii="Arial" w:cs="Arial" w:eastAsia="Arial" w:hAnsi="Arial"/>
          <w:sz w:val="16"/>
          <w:szCs w:val="16"/>
          <w:b w:val="1"/>
          <w:bCs w:val="1"/>
          <w:color w:val="auto"/>
        </w:rPr>
        <w:t>521 West 57th Street, New York, N.Y. 10019-2960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420"/>
          </w:cols>
          <w:pgMar w:left="240" w:top="733"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46"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4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9"/>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4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0" w:type="dxa"/>
            <w:vAlign w:val="bottom"/>
          </w:tcPr>
          <w:p>
            <w:pPr>
              <w:ind w:left="234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8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April 24, 2017: 78,971,175</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323,992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$12,144 and $9,995, respectively)</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637,521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550,658</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288,629</w:t>
            </w: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18,100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13,792</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279,843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289,596</w:t>
            </w: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604,251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592,017</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169,594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142,347</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1,711,433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1,609,014</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1,975,760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1,913,333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(1,183,840)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(1,137,617)</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775,716</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1,120,471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1,000,123</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365,783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148,258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138,636</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127,712</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4,252,259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4,016,984</w:t>
            </w:r>
          </w:p>
        </w:tc>
      </w:tr>
      <w:tr>
        <w:trPr>
          <w:trHeight w:val="73"/>
        </w:trPr>
        <w:tc>
          <w:tcPr>
            <w:tcW w:w="76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74"/>
        </w:trPr>
        <w:tc>
          <w:tcPr>
            <w:tcW w:w="76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258,516</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107,441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274,815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payroll and bonus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43,781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64,357</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50,678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248,446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249,931</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898,297</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1,186,417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1,066,855</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gains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39,816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Retirement liabilities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250,493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243,407</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137,475</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Other Liabilities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1,634,918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1,487,553</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 13)</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Common stock 12 1/2¢ par value; authorized 500,000,000 shares; issued 115,858,190 shares as of March 31,</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03"/>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2017 and December 31, 2016 and outstanding 78,948,036 and 79,213,037 shares as of March 31, 2017 and</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2016</w:t>
            </w: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155,414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152,481</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3,850,955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3,818,535</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(681,468)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(680,095)</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Treasury stock, at cost - 36,910,154 shares as of March 31, 2017 and 36,645,153 shares as of December 31,</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2016</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(1,713,294)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(1,679,147)</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1,626,077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1,626,244</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4,890</w:t>
            </w:r>
          </w:p>
        </w:tc>
      </w:tr>
      <w:tr>
        <w:trPr>
          <w:trHeight w:val="217"/>
        </w:trPr>
        <w:tc>
          <w:tcPr>
            <w:tcW w:w="7660" w:type="dxa"/>
            <w:vAlign w:val="bottom"/>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1,631,517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1,631,134</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4,252,259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4,016,984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894"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580" w:right="259" w:bottom="894"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828,293</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783,312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463,627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423,103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364,666</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69,711</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63,385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140,330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7,066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6,061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10,143</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sales of fixed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137,437</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12,807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12,478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138,487</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154,896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22,723</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115,764</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118,603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14,078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on derivatives qualifying as hedges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3,635</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2,555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114,391</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125,044</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79,098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79,666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79,409</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115,764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118,603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26,802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26,697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gain on liquidation of entity</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(60,655)</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(29,375)</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10,456</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21,701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39,943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Cash paid for acquisitions, net of cash received</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(138,093)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(162,188)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(44,826)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revolving credit facility borrowings and overdrafts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(124,602)</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Increase in commercial paper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107,441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555,559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pre-issuance hedges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withholding taxes paid</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330,951</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346,889</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323,992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181,988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528,877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20,729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23,884</w:t>
            </w:r>
          </w:p>
        </w:tc>
        <w:tc>
          <w:tcPr>
            <w:tcW w:w="0" w:type="dxa"/>
            <w:vAlign w:val="bottom"/>
          </w:tcPr>
          <w:p>
            <w:pPr>
              <w:spacing w:after="0"/>
              <w:rPr>
                <w:sz w:val="1"/>
                <w:szCs w:val="1"/>
                <w:color w:val="auto"/>
              </w:rPr>
            </w:pPr>
          </w:p>
        </w:tc>
      </w:tr>
      <w:tr>
        <w:trPr>
          <w:trHeight w:val="210"/>
        </w:trPr>
        <w:tc>
          <w:tcPr>
            <w:tcW w:w="7760" w:type="dxa"/>
            <w:vAlign w:val="bottom"/>
          </w:tcPr>
          <w:p>
            <w:pPr>
              <w:ind w:left="4140"/>
              <w:spacing w:after="0"/>
              <w:rPr>
                <w:sz w:val="20"/>
                <w:szCs w:val="20"/>
                <w:color w:val="auto"/>
              </w:rPr>
            </w:pPr>
            <w:r>
              <w:rPr>
                <w:rFonts w:ascii="Arial" w:cs="Arial" w:eastAsia="Arial" w:hAnsi="Arial"/>
                <w:sz w:val="16"/>
                <w:szCs w:val="16"/>
                <w:i w:val="1"/>
                <w:iCs w:val="1"/>
                <w:color w:val="auto"/>
              </w:rPr>
              <w:t>See Notes to Consolidated Financial Statements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80" w:right="25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6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2016 Annual Report on Form 10-K (“2016 Form 10-K”). These interim statements are unaudited. The year-end balance sheet data included in this Form 10-Q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March 31 and December 31 are used consistently throughout this Form 10-Q and these interim financial statements and related notes to represent the period-end dates. For the 2017 and 2016 quarters, the actual closing dates were March 31, and April 1,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 and Revisions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and revised to conform with current year presentation.</w:t>
      </w:r>
    </w:p>
    <w:p>
      <w:pPr>
        <w:spacing w:after="0" w:line="25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Consolidated Statement of Comprehensive Income has been revised to properly reflect Gain on sales of fixed assets within Operating profit for the three months ending March 31, 2016. In addition, approximately $5.4 million of expense was recorded during the first quarter of 2017 for a tax assessment relating to prior periods. These adjustments were not material to the previously-issued financial statements.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March 2017, the Financial Accounting Standards Board (“FASB”) issued amendments to the Compensation - Retirement Benefits guidance which requires employers that present a measure of operating income in their statement of income to include only the service cost component of net periodic pension cost and postretirement costs in operating expenses. This guidance is effective, and should be applied retroactively, for fiscal years beginning after December 15, 2017. Early adoption is permitted as of the beginning of an annual period. The Company is currently evaluating the impact that this guidance will have on its Consolidated Statement of Comprehensive Income.</w:t>
      </w:r>
    </w:p>
    <w:p>
      <w:pPr>
        <w:spacing w:after="0" w:line="13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January 2017, the FASB issued amendments to the Business Combination guidance which clarifies the definition of a business in order to assist companies when evaluating whether transactions should be accounted for as acquisitions or disposals of assets or businesses. This guidance will be effective prospectively for annual and interim periods beginning after December 15, 2017. The Company is currently evaluating the impact this guidance may have on its Consolidated financial statements and on accounting for future acquisitions.</w:t>
      </w:r>
    </w:p>
    <w:p>
      <w:pPr>
        <w:spacing w:after="0" w:line="1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January 2017, the FASB issued an amendment to the Goodwill Impairment guidance which eliminates Step 2 from the goodwill impairment test. This guidance will be effective for fiscal years beginning after December 15, 2019. Early adoption is permitted. The Company plans to adopt this guidance in accordance with its existing annual impairment review policy in fiscal year 2017. The Company does not expect this adoption to have an impact on its consolidated financial statements.</w:t>
      </w:r>
    </w:p>
    <w:p>
      <w:pPr>
        <w:spacing w:after="0" w:line="133"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 October 2016, the FASB issued authoritative guidance which allows for the immediate recognition of current and deferred income tax impact on intra-entity asset transfers, excluding inventory. This guidance will be effective for fiscal years beginning after December 15, 2017. The Company adopted this guidance in the first quarter of fiscal year 2017 and accordingly, recorded a cumulative-effect adjustment to Retained earnings that reduced Other assets and adjusted Deferred income taxes by a net amount of approximately $33 million.</w:t>
      </w:r>
    </w:p>
    <w:p>
      <w:pPr>
        <w:spacing w:after="0" w:line="13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August 2016, the FASB issued authoritative guidance which requires changes to the classification of certain activities within the statement of cash flows. This guidance will be effective for annual and interim periods beginning after December 15, 2017. Early adoption will be permitted for all entities. The Company does not expect this adoption to have a significant impact on its statement of cash flows.</w:t>
      </w:r>
    </w:p>
    <w:p>
      <w:pPr>
        <w:spacing w:after="0" w:line="127"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In March 2016, the FASB issued authoritative guidance which requires changes to several aspects of the accounting for share-based payment transactions, including the treatment of income tax consequences, classification of awards as either equity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color w:val="auto"/>
        </w:rPr>
        <w:t>or liabilities, and classification of certain items on the statement of cash flows. This guidance was effective for annual and interim periods beginning after December 15, 2016. The Company adopted this standard during the first quarter of 2017. The standard requires that employee taxes paid when an employer withholds shares be presented in the Consolidated Statement of Cash Flows as a financing activity instead of an operating activity. The Company adopted this change retrospectively, resulting in a $3.0 million and $7.3 million increase to Net cash provided by operating activities on the Consolidated Statement of Cash Flows as of March 31, 2017 and 2016, respectively. In addition, the standard requires that excess tax benefits presented in the Consolidated Statement of Cash Flows be classified as an operating activity instead of a financing activity. The Company adopted this change retrospectively, resulting in a $0.8 million and $1.0 million increase to Net cash provided by operating activities on the Consolidated Statement of Cash Flows as of March 31, 2017 and 2016, respectively.</w:t>
      </w:r>
    </w:p>
    <w:p>
      <w:pPr>
        <w:spacing w:after="0" w:line="13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standard also requires all excess tax benefits/deficiencies be recognized as income tax expense/benefit in the Consolidated Statement of Comprehensive Income. This guidance has been applied prospectively. This change resulted in a $0.8 million benefit to income tax expense for the period ended March 31, 2017. The 2016 period included a $4.5 million benefit to equity, which has not been retrospectively adjusted. The full year 2016 benefit to equity was $5.3 million. Additionally, the standard allows the Company to make an entity-wide accounting policy election to either estimate the number of awards that are expected to vest or account for forfeitures as they occur. The Company has elected to continue to account for forfeitures using an estimate of awards expected to be forfeited.</w:t>
      </w:r>
    </w:p>
    <w:p>
      <w:pPr>
        <w:spacing w:after="0" w:line="13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February 2016, the FASB issued authoritative guidance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31, 2018. Early adoption will be permitted for all entities. The Company expects the adoption of this guidance will result in significant increases to assets and liabilities on its Consolidated Balance Sheet and is still evaluating the impact on its Consolidated Statement of Comprehensive Income.</w:t>
      </w:r>
    </w:p>
    <w:p>
      <w:pPr>
        <w:spacing w:after="0" w:line="134"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In May 2014, the FASB issued authoritative guidance that provides for a comprehensive model to be used in accounting for revenue arising from contracts with customers. Under this standard, revenue will be recognized to depict the transfer of goods or services to customers in an amount that reflects the consideration to which the Company expects to be entitled in exchange for those goods or services. This guidance is applicable to all entities and is effective for annual and interim periods beginning after December 15, 2017. Adoption as of the original effective date is permitted. Accordingly, the Company is required to adopt this standard in the first quarter of fiscal year 2018.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Company is evaluating the impact of the new standard, including updates to the standard that were issued by the FASB. In particular, the Company has reviewed the nature of its larger customer relationships and is in the process of reviewing the nature of potential regional variations in all aspects of its customer base regardless of size. Based on the work performed to date, the Company expects to conduct further review and analysis of certain areas that may lead to changes in the manner in which the Company recognizes revenue, including the customized nature of the product, consignment arrangements, rebates, upfront costs, shipping terms and documentation other than formal contracts. As a result, the financial statement impact has not yet been determined. The Company is also currently evaluating the method of adoption and the potential impacts to the consolidated financial statements and related disclosures.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provided by operations from participating in these programs decreased approximately $27.1 million for the three months ended March 31, 2017 compared to a decrease of approximately $4.7 million for the three months ended March 31, 2016. The cost of participating in these programs was immaterial to our results in all periods.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Currency Translation Adjustment Reclassification</w:t>
      </w:r>
    </w:p>
    <w:p>
      <w:pPr>
        <w:spacing w:after="0" w:line="171"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During the first quarter of 2017, the Company recorded income of approximately $12.2 million related to a foreign currency exchange gain from the release of a currency translation adjustment upon the liquidation of a foreign entity in 2017. This amount was recorded to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(SHARES IN THOUSANDS)</w:t>
            </w: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79,098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389</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79,409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80,055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stock options or stock-settled appreciation rights (“SSARs”) excluded from the computation of diluted net income per share for the three months ended March 31, 2017. An immaterial amount of SSARs were excluded from the 2016 period.</w:t>
      </w:r>
    </w:p>
    <w:p>
      <w:pPr>
        <w:spacing w:after="0" w:line="116"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has issued shares of purchased restricted common stock and purchase restricted common stock units (collectively “PRSUs”)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PRSU shareholders was less than $0.01 per share for each period presented, and the number of PRSUs outstanding as of March 31, 2017 and 2016 was immaterial. Net income allocated to such PRSUs was $0.3 million and $0.6 million for the three months ended March 31, 2017 and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PowderPure</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April 7, 2017, the Company completed the acquisition of 100% of the outstanding shares of Columbia PhytoTechnology, LLC d/b/a PowderPure ("PowderPure"), a privately-held flavors company with facilities in North America. The acquisition will be accounted for under the purchase method. The Company paid approximately $55 million for this acquisition, which was funded from existing resources. Due to the limited time since closing and the fact that the purchase price allocation has not been completed, the Company has not yet calculated the actual amounts related to the assets and liabilities acquired in the PowderPure transaction. As a result, certain required disclosures have not been made. The purchase price allocation is expected to be completed by the fourth quarter of 2017.</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pro forma financial information for 2017 and 2016 is presented as the acquisition was not material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Fragrance Resources</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On January 17, 2017, the Company completed the acquisition of 100% of the outstanding shares of Fragrance Resources, a privately-held fragrance company with facilities in Germany, North America, France, and China. The acquisition was accounted for under the purchase method. Fragrance Resources was acquired to strengthen the North American and German fragrances business. The Company paid approximately Euro 142.0 million (approximately $150.5 million) including approximately Euro 11.5 million (approximately $12.4 million) of cash acquired for this acquisition, which was funded from existing resources. The purchase price exceeded the preliminary fair value of existing net assets by approximately $119.0 million. The excess was allocated principally to identifiable intangible assets including approximately $59.6 million related to customer relationships, approximately $6.1 million related to proprietary technology and trade name and approximately $76.3 million of goodwill (which is not deductible for tax purposes) and approximately $23.0 million of net deferred tax liability. Goodwill is the excess of the purchase price over the fair value of net assets acquired. Goodwill represents synergies from the addition of Fragrance Resources to the Company's existing Fragrances business. The intangible assets are being amortized over the following estimated useful lives: trade name and proprietary technology, up to 5 years and customer relationships, 12 - 16 years. The purchase price allocation is preliminary pending the finalization of the values of intangible assets, principally customer relationships, finalization of working capital calculations and the determination of useful lives. The purchase price allocation is expected to be completed by the third quarter of 2017.</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pro forma financial information for 2017 and 2016 is presented as the acquisition was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2016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Michael</w:t>
      </w:r>
    </w:p>
    <w:p>
      <w:pPr>
        <w:spacing w:after="0" w:line="9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On October 7, 2016, the Company completed the acquisition of 100% of the outstanding shares of David Michael &amp; Company, Inc. ("David Michael"). The acquisition was accounted for under the purchase method. David Michael was acquired to strengthen the North American flavors business. The Company paid approximately $242.0 million (including $5.1 million of cash acquired) for this acquisition, which was funded from existing resources. The preliminary purchase price allocation was updated during the first quarter of 2017, resulting in a reduction in allocation of value to customer relationships. The related reduction in amortization expense was not material to the Consolidated Statement of Comprehensive Income. The purchase price exceeded the preliminary fair value of existing net assets by approximately $168.7 million. The excess was allocated principally to identifiable intangible assets including approximately $50.0 million related to customer relationships, approximately $8.4 million related to proprietary technology and trade name and approximately $110.3 million of goodwill (which is deductible for tax purposes). Goodwill is the excess of the purchase price over the fair value of net assets acquired. Goodwill represents synergies from the addition of David Michael to the Company's existing Flavors business. The intangible assets are being amortized over the following estimated useful lives: trade name and proprietary technology, up to 5 years and customer relationships, 18 - 20 years. The purchase price allocation is preliminary pending the finalization of certain procedures associated with purchase price, contractually required to be completed subsequent to December 31, 2016 as well as the finalization of the analysis associated with customer relationships and certain other assets. The purchase price allocation is expected to be completed by the second quarter of 2017.</w:t>
      </w:r>
    </w:p>
    <w:p>
      <w:pPr>
        <w:spacing w:after="0" w:line="134" w:lineRule="exact"/>
        <w:rPr>
          <w:sz w:val="20"/>
          <w:szCs w:val="20"/>
          <w:color w:val="auto"/>
        </w:rPr>
      </w:pPr>
    </w:p>
    <w:p>
      <w:pPr>
        <w:ind w:right="1140" w:firstLine="324"/>
        <w:spacing w:after="0" w:line="277" w:lineRule="auto"/>
        <w:rPr>
          <w:sz w:val="20"/>
          <w:szCs w:val="20"/>
          <w:color w:val="auto"/>
        </w:rPr>
      </w:pPr>
      <w:r>
        <w:rPr>
          <w:rFonts w:ascii="Arial" w:cs="Arial" w:eastAsia="Arial" w:hAnsi="Arial"/>
          <w:sz w:val="18"/>
          <w:szCs w:val="18"/>
          <w:color w:val="auto"/>
        </w:rPr>
        <w:t>No pro forma financial information for 2016 is presented as the impact of the acquisition was immaterial to the Consolidated Statement of Comprehensive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Charges,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the Company expects to optimize its global footprint and simplify its organizational structures globally. In connection with this initiative, the Company expects to incur cumulative, pre-tax cash charges of between $30-$35 million, consisting primarily of $21-$22 million in personnel-related costs and an estimated $9-$13 million in facility-related costs, such as lease termination, and integration-related costs. In addition, the Company may incur up to $5 million of accelerated depreciation. The Company recorded $10.1 million of these charges related to personnel-related costs and lease termination costs in the first quarter of 2017, with the remainder of the personnel-related costs expected to be recognized by the end of 2017 and the other costs expected to be recognized over the following seven quarters. During 2017, the Company made payments of $2.1 million related to severance. The overall charges are split approximately evenly between Flavors and Fragrances. This initiative is expected to result in the reduction of approximately 370 members of the Company’s global workforce in various parts of the organization.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Severance Charges</w:t>
      </w:r>
    </w:p>
    <w:p>
      <w:pPr>
        <w:spacing w:after="0" w:line="9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During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the Company recorded charges for severance and related costs pertaining to approximately 150 positions that have been affected. During 2017, the Company made payments of $0.2 million related to severance. The total cost of the plan is expected to be approximately $8.8 million with the remaining charges relating principally to accelerated depreciation. The Company expects the plan to be fully completed by the second quarter of 2017.</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employee-related restructuring liabilities during the three months ended March 31,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6"/>
              </w:rPr>
              <w:t>Employee-Related Costs</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6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Additional charges (reversals), net</w:t>
            </w:r>
          </w:p>
        </w:tc>
        <w:tc>
          <w:tcPr>
            <w:tcW w:w="280" w:type="dxa"/>
            <w:vAlign w:val="bottom"/>
          </w:tcPr>
          <w:p>
            <w:pPr>
              <w:spacing w:after="0"/>
              <w:rPr>
                <w:sz w:val="21"/>
                <w:szCs w:val="21"/>
                <w:color w:val="auto"/>
              </w:rPr>
            </w:pP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9,688</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10,142</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2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(2,319)</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10,646</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6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Goodwill and Other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Movements in goodwill during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Goodwill</w:t>
            </w: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1,000,123</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76,287</w:t>
            </w:r>
          </w:p>
        </w:tc>
      </w:tr>
      <w:tr>
        <w:trPr>
          <w:trHeight w:val="27"/>
        </w:trPr>
        <w:tc>
          <w:tcPr>
            <w:tcW w:w="9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5,773</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38,288</w:t>
            </w:r>
          </w:p>
        </w:tc>
      </w:tr>
      <w:tr>
        <w:trPr>
          <w:trHeight w:val="27"/>
        </w:trPr>
        <w:tc>
          <w:tcPr>
            <w:tcW w:w="9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1,120,471</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above principally represents the increase to Goodwill associated with the update of certain customer relationship assumptions in the preliminary purchase price allocation of David Michael, as disclosed in Note 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intangible assets, net consist of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396,083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371,270</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2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125,058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119,544</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24,470</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carrying value</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577,864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545,963</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(87,398)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(82,555)</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(69,576)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(68,292)</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accumulated amortization</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(180,180)</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6"/>
        </w:trPr>
        <w:tc>
          <w:tcPr>
            <w:tcW w:w="77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390,212</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365,783</w:t>
            </w:r>
          </w:p>
        </w:tc>
      </w:tr>
      <w:tr>
        <w:trPr>
          <w:trHeight w:val="27"/>
        </w:trPr>
        <w:tc>
          <w:tcPr>
            <w:tcW w:w="7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Amortization expense was $7.1 million and $6.1 million for the three months ended March 31, 2017 and 2016, respectively. Annual amortization is expected to be $31.9 million for the full year 2017, $31.1 million for the year 2018, $29.6 million for the year 2019, $28.9 million for the year 2020, $24.4 million for the year 2021 and $22.1 million for the year 2022.</w:t>
      </w:r>
    </w:p>
    <w:p>
      <w:pPr>
        <w:sectPr>
          <w:pgSz w:w="11900" w:h="16838" w:orient="portrait"/>
          <w:cols w:equalWidth="0" w:num="1">
            <w:col w:w="11140"/>
          </w:cols>
          <w:pgMar w:left="240" w:top="82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40"/>
          </w:cols>
          <w:pgMar w:left="240" w:top="823" w:right="5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Rate</w:t>
            </w:r>
          </w:p>
        </w:tc>
        <w:tc>
          <w:tcPr>
            <w:tcW w:w="13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Maturities</w:t>
            </w: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2016</w:t>
            </w:r>
          </w:p>
        </w:tc>
      </w:tr>
      <w:tr>
        <w:trPr>
          <w:trHeight w:val="270"/>
        </w:trPr>
        <w:tc>
          <w:tcPr>
            <w:tcW w:w="55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- 2007 </w:t>
            </w:r>
            <w:r>
              <w:rPr>
                <w:rFonts w:ascii="Arial" w:cs="Arial" w:eastAsia="Arial" w:hAnsi="Arial"/>
                <w:sz w:val="25"/>
                <w:szCs w:val="25"/>
                <w:color w:val="auto"/>
                <w:vertAlign w:val="superscript"/>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499,696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499,676</w:t>
            </w: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- 2013 </w:t>
            </w:r>
            <w:r>
              <w:rPr>
                <w:rFonts w:ascii="Arial" w:cs="Arial" w:eastAsia="Arial" w:hAnsi="Arial"/>
                <w:sz w:val="25"/>
                <w:szCs w:val="25"/>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298,162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297,986</w:t>
            </w: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Euro Senior notes - 2016 </w:t>
            </w:r>
            <w:r>
              <w:rPr>
                <w:rFonts w:ascii="Arial" w:cs="Arial" w:eastAsia="Arial" w:hAnsi="Arial"/>
                <w:sz w:val="25"/>
                <w:szCs w:val="25"/>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530,364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512,764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102,277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13,284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13,599</w:t>
            </w:r>
          </w:p>
        </w:tc>
      </w:tr>
      <w:tr>
        <w:trPr>
          <w:trHeight w:val="27"/>
        </w:trPr>
        <w:tc>
          <w:tcPr>
            <w:tcW w:w="5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w:t>
            </w:r>
          </w:p>
        </w:tc>
      </w:tr>
      <w:tr>
        <w:trPr>
          <w:trHeight w:val="237"/>
        </w:trPr>
        <w:tc>
          <w:tcPr>
            <w:tcW w:w="5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1,552,086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1,325,371</w:t>
            </w:r>
          </w:p>
        </w:tc>
      </w:tr>
      <w:tr>
        <w:trPr>
          <w:trHeight w:val="27"/>
        </w:trPr>
        <w:tc>
          <w:tcPr>
            <w:tcW w:w="5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debt</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(258,516)</w:t>
            </w:r>
          </w:p>
        </w:tc>
      </w:tr>
      <w:tr>
        <w:trPr>
          <w:trHeight w:val="237"/>
        </w:trPr>
        <w:tc>
          <w:tcPr>
            <w:tcW w:w="5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1,186,417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1,066,855</w:t>
            </w:r>
          </w:p>
        </w:tc>
      </w:tr>
      <w:tr>
        <w:trPr>
          <w:trHeight w:val="27"/>
        </w:trPr>
        <w:tc>
          <w:tcPr>
            <w:tcW w:w="5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Amount is net of unamortized discount and debt issuance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Commercial paper issued by the Company generally has terms of 90 days or less. As of March 31, 2017, there was $107.4 million of commercial paper outstanding, which had a weighted average effective interest rate of 1.14%. As of March 31, 2017, commercial paper maturities did not extend for more than 30 days. The revolving credit facility is used as a backstop for the Company's commercial paper program. No commercial paper was issued during the three months ended March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At March 31, 2017, the Company had $22.2 million of unrecognized tax benefits recorded in Other liabilities and $4.6 million in Other current liabilities. If these unrecognized tax benefits were recognized, the effective tax rate would be affected.</w:t>
      </w:r>
    </w:p>
    <w:p>
      <w:pPr>
        <w:spacing w:after="0" w:line="11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At March 31, 2017, the Company had accrued interest and penalties of $1.7 million classified in Other liabilities and $0.3 million in Other current liabilities.</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March 31, 2017, the Company’s aggregate provisions for uncertain tax positions, including interest and penalties, was $28.8 million associated with various tax positions asserted in foreign jurisdictions, none of which is individually material.</w:t>
      </w:r>
    </w:p>
    <w:p>
      <w:pPr>
        <w:spacing w:after="0" w:line="116"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In addition, the Company has open tax years with various taxing jurisdictions that range primarily from 2007 to 2016.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effective tax rate for the three months ended March 31, 2017 was 16.4% compared with 23.4% for the three months ended March 31, 2016. The quarter-over-quarter decrease was largely due to various discrete items (including the effect of accrual to return adjustments, certain non-taxable gains on foreign currency and the impact of adopting the new accounting guidance on the tax effect of stock compensation vesting), a more favorable mix of earnings and the impact of the global supply chain hub, offset by unfavorable repatriation costs as compared to the prior year.</w:t>
      </w:r>
    </w:p>
    <w:p>
      <w:pPr>
        <w:sectPr>
          <w:pgSz w:w="11900" w:h="16838" w:orient="portrait"/>
          <w:cols w:equalWidth="0" w:num="1">
            <w:col w:w="11340"/>
          </w:cols>
          <w:pgMar w:left="240" w:top="1283" w:right="31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40"/>
          </w:cols>
          <w:pgMar w:left="240" w:top="1283" w:right="3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8. Stock Compensation Plans:</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PRSUs, restricted stock units ("RSUs"), stock options,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3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The Global expenses caption below represent corporate and headquarters-related expenses which include legal, finance, human resources, certain incentive compensation expenses and other R&amp;D and administrative expenses that are not allocated to individual operating segments.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406,164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372,508</w:t>
            </w:r>
          </w:p>
        </w:tc>
      </w:tr>
      <w:tr>
        <w:trPr>
          <w:trHeight w:val="27"/>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410,804</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828,293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783,312</w:t>
            </w:r>
          </w:p>
        </w:tc>
      </w:tr>
      <w:tr>
        <w:trPr>
          <w:trHeight w:val="67"/>
        </w:trPr>
        <w:tc>
          <w:tcPr>
            <w:tcW w:w="7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7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98,010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91,813</w:t>
            </w:r>
          </w:p>
        </w:tc>
      </w:tr>
      <w:tr>
        <w:trPr>
          <w:trHeight w:val="27"/>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89,237</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(13,870)</w:t>
            </w:r>
          </w:p>
        </w:tc>
      </w:tr>
      <w:tr>
        <w:trPr>
          <w:trHeight w:val="27"/>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and other charges, net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7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70"/>
        </w:trPr>
        <w:tc>
          <w:tcPr>
            <w:tcW w:w="7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Legal (charges) credits </w:t>
            </w:r>
            <w:r>
              <w:rPr>
                <w:rFonts w:ascii="Arial" w:cs="Arial" w:eastAsia="Arial" w:hAnsi="Arial"/>
                <w:sz w:val="25"/>
                <w:szCs w:val="25"/>
                <w:color w:val="auto"/>
                <w:vertAlign w:val="superscript"/>
              </w:rPr>
              <w:t>(4)</w:t>
            </w:r>
          </w:p>
        </w:tc>
        <w:tc>
          <w:tcPr>
            <w:tcW w:w="3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Gain on sales of assets </w:t>
            </w:r>
            <w:r>
              <w:rPr>
                <w:rFonts w:ascii="Arial" w:cs="Arial" w:eastAsia="Arial" w:hAnsi="Arial"/>
                <w:sz w:val="25"/>
                <w:szCs w:val="25"/>
                <w:color w:val="auto"/>
                <w:vertAlign w:val="superscript"/>
              </w:rPr>
              <w:t>(5)</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2,713</w:t>
            </w:r>
          </w:p>
        </w:tc>
      </w:tr>
      <w:tr>
        <w:trPr>
          <w:trHeight w:val="270"/>
        </w:trPr>
        <w:tc>
          <w:tcPr>
            <w:tcW w:w="7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assessment </w:t>
            </w:r>
            <w:r>
              <w:rPr>
                <w:rFonts w:ascii="Arial" w:cs="Arial" w:eastAsia="Arial" w:hAnsi="Arial"/>
                <w:sz w:val="25"/>
                <w:szCs w:val="25"/>
                <w:color w:val="auto"/>
                <w:vertAlign w:val="superscript"/>
              </w:rPr>
              <w:t>(6)</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Integration-related costs </w:t>
            </w:r>
            <w:r>
              <w:rPr>
                <w:rFonts w:ascii="Arial" w:cs="Arial" w:eastAsia="Arial" w:hAnsi="Arial"/>
                <w:sz w:val="25"/>
                <w:szCs w:val="25"/>
                <w:color w:val="auto"/>
                <w:vertAlign w:val="superscript"/>
              </w:rPr>
              <w:t>(7)</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137,437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169,933</w:t>
            </w:r>
          </w:p>
        </w:tc>
      </w:tr>
      <w:tr>
        <w:trPr>
          <w:trHeight w:val="27"/>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(2,559)</w:t>
            </w:r>
          </w:p>
        </w:tc>
      </w:tr>
      <w:tr>
        <w:trPr>
          <w:trHeight w:val="27"/>
        </w:trPr>
        <w:tc>
          <w:tcPr>
            <w:tcW w:w="7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138,487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154,896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4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2017, charges represent severance costs related to the 2017 Productivity Program. In 2016, charges relate to accelerated depreciation which were recorded in Cost of goods sold.</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1" w:name="page12"/>
    <w:bookmarkEnd w:id="11"/>
    <w:p>
      <w:pPr>
        <w:ind w:left="340" w:right="20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 transaction costs related to the acquisitions of David Michael, Fragrance Resources and PowderPure as well as the amortization of inventory "step-up" related to David Michael and Fragrance Resources in the 2017 period and expense related to the amortization of inventory "step-up" and additional transaction costs related to the acquisition of Lucas Meyer in the 2016 period.</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 accelerated depreciation in Hangzhou, China in both the 2017 and 2016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interest receivable from the Spanish government related to the Spanish capital tax case.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gains on sale of assets in Latin America in the 2017 period and in Europe in the 2016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reserve for a tax assessment related to commercial rent for prior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costs related to the integration of the David Michael and Fragrance Resources acquisitions in the 2017 period.</w:t>
      </w:r>
    </w:p>
    <w:p>
      <w:pPr>
        <w:spacing w:after="0" w:line="15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Net sales are attributed to individual regions based upon the destination of product delivery. Net sales related to the U.S. for the three months ended March 31, 2017 and 2016 were $227.6 million and $189.9 million, respectively. Net sales attributed to all foreign countries in total for the three months ended March 31, 2017 and 2016 were $600.7 million and $593.4 million, respectively. No country other than the U.S. had net sales in any period presented greater than 10% of total consolidated net sales.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expects to contribute a total of approximately $10 million to its U.S. pension plans during 2017.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2017, no contributions were made to the qualified U.S. pension plans, $24.2 million of contributions were made to the non-U.S. pension plans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 million of benefit payments were made with respect to the Company's non-qualified U.S. pension plan.</w:t>
      </w:r>
    </w:p>
    <w:p>
      <w:pPr>
        <w:spacing w:after="0" w:line="21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January 1, 2017, the Company changed its approach for calculating the discount rate which is applied to the Consolidated Balance Sheet and Consolidated Statement of Comprehensive Income from a single weighted-average discount rate approach to a multiple discount rate approach. The impact of this change for the full year 2017 is estimated to be a reduction of approximately $8 million in pension expense.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787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postretirement benefit income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2017. In the three months ended March 31, 2017, $1.2 million of contributions were made.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2016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March 31, 2017.</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March 31, 2017 and December 31, 2016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 2017</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520" w:type="dxa"/>
            <w:vAlign w:val="bottom"/>
          </w:tcPr>
          <w:p>
            <w:pPr>
              <w:spacing w:after="0"/>
              <w:rPr>
                <w:sz w:val="19"/>
                <w:szCs w:val="19"/>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Pr>
          <w:p>
            <w:pPr>
              <w:spacing w:after="0"/>
              <w:rPr>
                <w:sz w:val="21"/>
                <w:szCs w:val="21"/>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520" w:type="dxa"/>
            <w:vAlign w:val="bottom"/>
          </w:tcPr>
          <w:p>
            <w:pPr>
              <w:spacing w:after="0"/>
              <w:rPr>
                <w:sz w:val="21"/>
                <w:szCs w:val="21"/>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300,067</w:t>
            </w:r>
          </w:p>
        </w:tc>
        <w:tc>
          <w:tcPr>
            <w:tcW w:w="10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300,067</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323,992</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323,992</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115,561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115,561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13,599</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107,441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107,441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499,696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499,676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556,222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298,162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304,278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297,986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302,376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 Senior notes - 2016</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530,364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564,677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512,764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546,006</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our credit facilities, bank overdrafts and commercial paper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38"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8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During the three months ended March 31, 2017 and the year ended December 31, 2016, the Company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 Six of these forward currency contracts matured during the three months ended March 31, 2017.</w:t>
      </w:r>
    </w:p>
    <w:p>
      <w:pPr>
        <w:spacing w:after="0" w:line="16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Subsequent to the issuance of the Euro Senior Notes - 2016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Comprehensive Income.</w:t>
      </w:r>
    </w:p>
    <w:p>
      <w:pPr>
        <w:spacing w:after="0" w:line="16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the three months ended March 31, 2017 and the year ended December 31, 2016,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35"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The Company has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months ended March 31, 2017.</w:t>
      </w:r>
    </w:p>
    <w:p>
      <w:pPr>
        <w:spacing w:after="0" w:line="12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 of Comprehensive Income. The Company incurred a loss of Euro 2.9 million ($3.2 million) due to the termination of these swaps. The loss is being amortized as interest expense over the life of the Euro Senior Notes - 2016 as discussed in Note 6.</w:t>
      </w:r>
    </w:p>
    <w:p>
      <w:pPr>
        <w:spacing w:after="0" w:line="134"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During the fourth quarter of 2016 and the first quarter of 2017, the Company entered into interest rate swap agreements to hedge the anticipated issuance of fixed-rate debt, which are designated as cash flow hedges. The fair value of the hedges was a gain of $0.3 million as of March 31, 2017. The effective portions of cash flow hedges are recorded in OCI as a component of Losses/gains on derivatives qualifying as hedges in the accompanying Consolidated Statement of Comprehensive Income.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March 31, 2017 and December 31,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2016</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514,043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527,500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412,500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March 31, 2017 and December 31,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2017</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359"/>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21,502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1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months ended March 31, 2017 and 2016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80" w:type="dxa"/>
            <w:vAlign w:val="bottom"/>
            <w:gridSpan w:val="3"/>
          </w:tcPr>
          <w:p>
            <w:pPr>
              <w:jc w:val="center"/>
              <w:ind w:left="185"/>
              <w:spacing w:after="0"/>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 w:type="dxa"/>
            <w:vAlign w:val="bottom"/>
          </w:tcPr>
          <w:p>
            <w:pPr>
              <w:spacing w:after="0"/>
              <w:rPr>
                <w:sz w:val="12"/>
                <w:szCs w:val="12"/>
                <w:color w:val="auto"/>
              </w:rPr>
            </w:pPr>
          </w:p>
        </w:tc>
        <w:tc>
          <w:tcPr>
            <w:tcW w:w="2280" w:type="dxa"/>
            <w:vAlign w:val="bottom"/>
            <w:gridSpan w:val="3"/>
          </w:tcPr>
          <w:p>
            <w:pPr>
              <w:jc w:val="center"/>
              <w:ind w:left="185"/>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center"/>
              <w:ind w:left="165"/>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gridSpan w:val="3"/>
          </w:tcPr>
          <w:p>
            <w:pPr>
              <w:jc w:val="center"/>
              <w:ind w:left="185"/>
              <w:spacing w:after="0"/>
              <w:rPr>
                <w:sz w:val="20"/>
                <w:szCs w:val="20"/>
                <w:color w:val="auto"/>
              </w:rPr>
            </w:pPr>
            <w:r>
              <w:rPr>
                <w:rFonts w:ascii="Arial" w:cs="Arial" w:eastAsia="Arial" w:hAnsi="Arial"/>
                <w:sz w:val="14"/>
                <w:szCs w:val="14"/>
                <w:b w:val="1"/>
                <w:bCs w:val="1"/>
                <w:color w:val="auto"/>
                <w:w w:val="95"/>
              </w:rPr>
              <w:t>Three Months Ended March 31,</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(4,943)  Other (income) expense,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months ended March 31, 2017 and 2016 (in thousands):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vMerge w:val="restart"/>
          </w:tcPr>
          <w:p>
            <w:pPr>
              <w:jc w:val="center"/>
              <w:ind w:right="133"/>
              <w:spacing w:after="0"/>
              <w:rPr>
                <w:sz w:val="20"/>
                <w:szCs w:val="20"/>
                <w:color w:val="auto"/>
              </w:rPr>
            </w:pPr>
            <w:r>
              <w:rPr>
                <w:rFonts w:ascii="Arial" w:cs="Arial" w:eastAsia="Arial" w:hAnsi="Arial"/>
                <w:sz w:val="14"/>
                <w:szCs w:val="14"/>
                <w:b w:val="1"/>
                <w:bCs w:val="1"/>
                <w:color w:val="auto"/>
                <w:w w:val="94"/>
              </w:rPr>
              <w:t>Amount of (Loss) Gain</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1680" w:type="dxa"/>
            <w:vAlign w:val="bottom"/>
            <w:gridSpan w:val="3"/>
          </w:tcPr>
          <w:p>
            <w:pPr>
              <w:jc w:val="center"/>
              <w:ind w:left="501"/>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10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1680" w:type="dxa"/>
            <w:vAlign w:val="bottom"/>
            <w:gridSpan w:val="3"/>
          </w:tcPr>
          <w:p>
            <w:pPr>
              <w:jc w:val="center"/>
              <w:ind w:left="501"/>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93"/>
              </w:rPr>
              <w:t>Portion)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168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3"/>
              </w:rPr>
              <w:t>Portion)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400" w:type="dxa"/>
            <w:vAlign w:val="bottom"/>
            <w:tcBorders>
              <w:top w:val="single" w:sz="8" w:color="auto"/>
            </w:tcBorders>
            <w:gridSpan w:val="4"/>
            <w:shd w:val="clear" w:color="auto" w:fill="CCEEFF"/>
          </w:tcPr>
          <w:p>
            <w:pPr>
              <w:jc w:val="center"/>
              <w:ind w:right="133"/>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480" w:type="dxa"/>
            <w:vAlign w:val="bottom"/>
            <w:tcBorders>
              <w:top w:val="single" w:sz="8" w:color="auto"/>
            </w:tcBorders>
            <w:gridSpan w:val="4"/>
            <w:shd w:val="clear" w:color="auto" w:fill="CCEEFF"/>
          </w:tcPr>
          <w:p>
            <w:pPr>
              <w:jc w:val="center"/>
              <w:ind w:right="133"/>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11"/>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(7,003)</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w w:val="99"/>
              </w:rPr>
              <w:t>Derivatives in Net Investment Hedging</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Euro Senior notes - 2016</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rate swaps were entered into as pre-issuance hedges.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ineffectiveness was experienced in the above noted cash flow or net investment hedges during the three months ended March 31, 2017 and 2016.</w:t>
      </w:r>
    </w:p>
    <w:p>
      <w:pPr>
        <w:spacing w:after="0" w:line="194"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Company expects that approximately $6.1 million (net of tax) of derivative gains included in AOCI at March 31, 2017, based on current market rates, will be reclassified into earnings within the next 12 months. The majority of this amount will vary due to fluctuations in foreign currency exchange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(680,095)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(355,282)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5,853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(332,039)</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(681,468)</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14,078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14,078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(283,421)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(322,787)</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(606,999)</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26" w:right="239" w:bottom="1440" w:gutter="0" w:footer="0" w:header="0"/>
          <w:type w:val="continuous"/>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The following table provides details about reclassifications out of accumulated other comprehensive income to the Consolidated Statement of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Three Months Ended March</w:t>
            </w:r>
          </w:p>
        </w:tc>
        <w:tc>
          <w:tcPr>
            <w:tcW w:w="140" w:type="dxa"/>
            <w:vAlign w:val="bottom"/>
          </w:tcPr>
          <w:p>
            <w:pPr>
              <w:spacing w:after="0"/>
              <w:rPr>
                <w:sz w:val="14"/>
                <w:szCs w:val="14"/>
                <w:color w:val="auto"/>
              </w:rPr>
            </w:pPr>
          </w:p>
        </w:tc>
        <w:tc>
          <w:tcPr>
            <w:tcW w:w="1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31, 2017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4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(Losses) gains on pension and postretirement liability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14 of our 2016 Form 10-K for additional information regarding net periodic benefit cost.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80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At March 31, 2017, we had total bank guarantees and standby letters of credit of approximately $36.8 million with various financial institutions. Included in the above aggregate amount is a total of $16.7 million in bank guarantees which the Company has posted for certain assessments in Brazil for other diverse income tax and indirect tax disputes related to fiscal years 1998-2011. There were no material amounts utilized under the standby letters of credit as of March 31, 2017.</w:t>
      </w:r>
    </w:p>
    <w:p>
      <w:pPr>
        <w:spacing w:after="0" w:line="13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$15.8 million as of March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Company has various lines of credit which are available to support its ongoing business operations. At March 31, 2017, we had available lines of credit (in addition to the $847.7 million of capacity under the Credit Facility discussed in Note 9 of our 2016 Form 10-K) of approximately $75.5 million with various financial institutions. There were no significant amounts drawn down pursuant to these lines of credit as of March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20" w:firstLine="432"/>
        <w:spacing w:after="0" w:line="256"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jc w:val="both"/>
        <w:ind w:right="60"/>
        <w:spacing w:after="0" w:line="255"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Flavors plant</w:t>
      </w:r>
    </w:p>
    <w:p>
      <w:pPr>
        <w:spacing w:after="0" w:line="9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2015, the Company was notified by Chinese authorities of compliance issues pertaining to the emission of odors from several of its plants in China. As a result, the Company's Guangzhou Flavors plant in China was temporarily idled. The Company has made additional capital improvements in odor-abatement equipment at these plants to address these issues and is in the process of building a second Flavors plant in China, which is expected to begin operating in the first quarter of 2019.</w:t>
      </w:r>
    </w:p>
    <w:p>
      <w:pPr>
        <w:spacing w:after="0" w:line="5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fourth quarter of 2016, the Company was notified that certain governmental authorities have begun to evaluate a change in the zoning of the Guangzhou Flavors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book value of the existing plant was approximately $68 million as of March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has received a request from the Chinese government to relocate its Fragrance Ingredients plant in Zhejiang, China. The Company is in discussions with the government regarding the timing of the requested relocation and the amount and nature of government compensation to be provided to the Company. The Company expects to conclude discussions with the Government in 2017. The net book value of the current plant was approximately $25 million as of March 31, 2017. Depending upon the ultimate outcome of the discussions with the Chinese government, between $0-25 million of the remaining net book value may be subject to accelerated depreciation.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China Operations</w:t>
      </w:r>
    </w:p>
    <w:p>
      <w:pPr>
        <w:spacing w:after="0" w:line="9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total carrying value of our six existing plants in China (two of which are currently under construction) was approximately $138 million as of March 31, 2017.</w:t>
      </w:r>
    </w:p>
    <w:p>
      <w:pPr>
        <w:spacing w:after="0" w:line="35"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$32.5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third quarter of 2016, the Court stayed the case and directed the parties to mediate. During the fourth quarter of 2016, the parties engaged in mediation and various settlement discussions which have not resulted in a resolution of the litigation to date. The discussions among the parties have continued through the first quarter of 2017. If the case is not settled, we expect that a trial on the merits of the case will occur during 2018. Based on expert assessment of potential exposure and the status of the settlement discussions, the Company recorded an additional reserve of $50 million during 2016.</w:t>
      </w:r>
    </w:p>
    <w:p>
      <w:pPr>
        <w:spacing w:after="0" w:line="34"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The Company periodically incurs product liability claims based on product that is sold to customers that may be defective or otherwise not in accordance with the customer’s requirements. The Company has recently been made aware of a claim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42" w:right="259" w:bottom="1440" w:gutter="0" w:footer="0" w:header="0"/>
        </w:sectPr>
      </w:pPr>
    </w:p>
    <w:bookmarkStart w:id="19" w:name="page20"/>
    <w:bookmarkEnd w:id="19"/>
    <w:p>
      <w:pPr>
        <w:spacing w:after="0" w:line="270" w:lineRule="auto"/>
        <w:rPr>
          <w:sz w:val="20"/>
          <w:szCs w:val="20"/>
          <w:color w:val="auto"/>
        </w:rPr>
      </w:pPr>
      <w:r>
        <w:rPr>
          <w:rFonts w:ascii="Arial" w:cs="Arial" w:eastAsia="Arial" w:hAnsi="Arial"/>
          <w:sz w:val="17"/>
          <w:szCs w:val="17"/>
          <w:color w:val="auto"/>
        </w:rPr>
        <w:t>product that was recently subject to a product recall. In the first quarter of 2017, the Company recorded a total charge of approximately $1.8 million to reserve for all remaining inventory at its manufacturing site and to provide the appropriate sales allowance on sales of the product to the customer. While it is probable that the Company will incur additional losses related to this claim, the amount of the ultimate claim that will be paid is not currently estimable as the following information is not yet available: details as to the amount of product that will ultimately be returned and the customer’s direct manufacturing and other production costs; costs related to the customer’s recall efforts; costs to dispose of defective product; and, other claims that the customer may make. While it is not currently possible to estimate the amount of losses, such losses, when recorded will affect income from operations in future individual quarters. The Company does not believe that the ultimate settlement of the claim will have a material impact on its financial condition. Separately, the Company expects to pursue reimbursement of all or a portion of costs, once incurred, from insurance and or the supplier; however, the nature, timing and amount of any such reimbursement cannot be determined at this time.</w:t>
      </w:r>
    </w:p>
    <w:p>
      <w:pPr>
        <w:spacing w:after="0" w:line="12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estimable losses in excess of any accrued liabilities is $0 to approximately $28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1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are also a party to other litigation arising in the ordinary course of our business. We do not expect the outcome of these cases, singly or in the aggregate, to have a material effect on our consolidated financial condition.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 xml:space="preserve">We are a leading innovator of sensorial experiences, co-creating unique products that consumers taste, smell, or feel in fine fragrances and cosmetics, detergents and household goods, and food and beverages. We take advantage of </w:t>
      </w:r>
      <w:r>
        <w:rPr>
          <w:rFonts w:ascii="Arial" w:cs="Arial" w:eastAsia="Arial" w:hAnsi="Arial"/>
          <w:sz w:val="16"/>
          <w:szCs w:val="16"/>
          <w:color w:val="231F20"/>
        </w:rPr>
        <w:t>our capabilities in consumer insights, research and product development</w:t>
      </w:r>
      <w:r>
        <w:rPr>
          <w:rFonts w:ascii="Arial" w:cs="Arial" w:eastAsia="Arial" w:hAnsi="Arial"/>
          <w:sz w:val="16"/>
          <w:szCs w:val="16"/>
          <w:color w:val="auto"/>
        </w:rPr>
        <w:t xml:space="preserve"> </w:t>
      </w:r>
      <w:r>
        <w:rPr>
          <w:rFonts w:ascii="Arial" w:cs="Arial" w:eastAsia="Arial" w:hAnsi="Arial"/>
          <w:sz w:val="16"/>
          <w:szCs w:val="16"/>
          <w:color w:val="231F20"/>
        </w:rPr>
        <w:t xml:space="preserve">(“R&amp;D”), creative expertise and customer intimacy to </w:t>
      </w:r>
      <w:r>
        <w:rPr>
          <w:rFonts w:ascii="Arial" w:cs="Arial" w:eastAsia="Arial" w:hAnsi="Arial"/>
          <w:sz w:val="16"/>
          <w:szCs w:val="16"/>
          <w:color w:val="000000"/>
        </w:rPr>
        <w:t>partner with our customers in developing innovative and differentiated offerings for consumers. We</w:t>
      </w:r>
      <w:r>
        <w:rPr>
          <w:rFonts w:ascii="Arial" w:cs="Arial" w:eastAsia="Arial" w:hAnsi="Arial"/>
          <w:sz w:val="16"/>
          <w:szCs w:val="16"/>
          <w:color w:val="231F20"/>
        </w:rPr>
        <w:t xml:space="preserve"> </w:t>
      </w:r>
      <w:r>
        <w:rPr>
          <w:rFonts w:ascii="Arial" w:cs="Arial" w:eastAsia="Arial" w:hAnsi="Arial"/>
          <w:sz w:val="16"/>
          <w:szCs w:val="16"/>
          <w:color w:val="000000"/>
        </w:rPr>
        <w:t xml:space="preserve">believe that this collaborative approach will generate market share gains for our </w:t>
      </w:r>
      <w:r>
        <w:rPr>
          <w:rFonts w:ascii="Arial" w:cs="Arial" w:eastAsia="Arial" w:hAnsi="Arial"/>
          <w:sz w:val="16"/>
          <w:szCs w:val="16"/>
          <w:color w:val="231F20"/>
        </w:rPr>
        <w:t>customers. We operate in two business segments, Flavors and Fragrances.</w:t>
      </w:r>
    </w:p>
    <w:p>
      <w:pPr>
        <w:spacing w:after="0" w:line="100" w:lineRule="exact"/>
        <w:rPr>
          <w:sz w:val="20"/>
          <w:szCs w:val="20"/>
          <w:color w:val="auto"/>
        </w:rPr>
      </w:pPr>
    </w:p>
    <w:p>
      <w:pPr>
        <w:ind w:right="180" w:firstLine="405"/>
        <w:spacing w:after="0" w:line="286" w:lineRule="auto"/>
        <w:rPr>
          <w:sz w:val="20"/>
          <w:szCs w:val="20"/>
          <w:color w:val="auto"/>
        </w:rPr>
      </w:pPr>
      <w:r>
        <w:rPr>
          <w:rFonts w:ascii="Arial" w:cs="Arial" w:eastAsia="Arial" w:hAnsi="Arial"/>
          <w:sz w:val="16"/>
          <w:szCs w:val="16"/>
          <w:color w:val="auto"/>
        </w:rPr>
        <w:t>Flavors are the key building blocks that impart taste experiences in food and beverage products and, as such, play a significant role in determining consumer preference for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Sweet and (4) Dairy.</w:t>
      </w:r>
    </w:p>
    <w:p>
      <w:pPr>
        <w:spacing w:after="0" w:line="15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231F20"/>
        </w:rPr>
        <w:t xml:space="preserve">We are a global leader in the creation of fragrance compounds that are integral elements in </w:t>
      </w:r>
      <w:r>
        <w:rPr>
          <w:rFonts w:ascii="Arial" w:cs="Arial" w:eastAsia="Arial" w:hAnsi="Arial"/>
          <w:sz w:val="17"/>
          <w:szCs w:val="17"/>
          <w:color w:val="000000"/>
        </w:rPr>
        <w:t>the world’s finest perfumes and best-known consumer</w:t>
      </w:r>
      <w:r>
        <w:rPr>
          <w:rFonts w:ascii="Arial" w:cs="Arial" w:eastAsia="Arial" w:hAnsi="Arial"/>
          <w:sz w:val="17"/>
          <w:szCs w:val="17"/>
          <w:color w:val="231F20"/>
        </w:rPr>
        <w:t xml:space="preserve"> </w:t>
      </w:r>
      <w:r>
        <w:rPr>
          <w:rFonts w:ascii="Arial" w:cs="Arial" w:eastAsia="Arial" w:hAnsi="Arial"/>
          <w:sz w:val="17"/>
          <w:szCs w:val="17"/>
          <w:color w:val="000000"/>
        </w:rPr>
        <w:t>products, within fabric care, home care, personal wash, hair care and toiletries products. Our Fragrances business consists of Fragrance Compounds and Fragrance Ingredients. Our Fragrance Compounds are organized into two broad categories, (1) Fine Fragrances and (2) Consumer Fragrances. Consumer Fragrances consists of five end-use categories of products: (1) Fabric Care, (2) Home Care, (3) Personal Wash, (4) Hair Care and (5) Toiletries. Also included in the Fragrances business unit are Fragrance Ingredients, consisting of cosmetic active and functional ingredients. Fragrance Ingredients are used internally and sold to third parties, including customers and competitors, for use in preparation of compounds.</w:t>
      </w:r>
    </w:p>
    <w:p>
      <w:pPr>
        <w:spacing w:after="0" w:line="124"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 xml:space="preserve">The flavors and fragrances market is part of a larger market which supplies a wide variety of ingredients and compounds used in consumer products. The broader market includes large multi-national companies and smaller regional and local participants that supply products such as seasonings, texturizers, spices, enzymes, certain food-related commodities, fortified products and cosmetic ingredients. </w:t>
      </w:r>
      <w:r>
        <w:rPr>
          <w:rFonts w:ascii="Arial" w:cs="Arial" w:eastAsia="Arial" w:hAnsi="Arial"/>
          <w:sz w:val="16"/>
          <w:szCs w:val="16"/>
          <w:color w:val="231F20"/>
        </w:rPr>
        <w:t>The global market for flavors and fragrances has expanded</w:t>
      </w:r>
      <w:r>
        <w:rPr>
          <w:rFonts w:ascii="Arial" w:cs="Arial" w:eastAsia="Arial" w:hAnsi="Arial"/>
          <w:sz w:val="16"/>
          <w:szCs w:val="16"/>
          <w:color w:val="auto"/>
        </w:rPr>
        <w:t xml:space="preserve"> </w:t>
      </w:r>
      <w:r>
        <w:rPr>
          <w:rFonts w:ascii="Arial" w:cs="Arial" w:eastAsia="Arial" w:hAnsi="Arial"/>
          <w:sz w:val="16"/>
          <w:szCs w:val="16"/>
          <w:color w:val="231F20"/>
        </w:rPr>
        <w:t xml:space="preserve">consistently, primarily as a result of an increase in demand for, as well as an increase in the variety of, consumer products containing flavors and fragrances. </w:t>
      </w:r>
      <w:r>
        <w:rPr>
          <w:rFonts w:ascii="Arial" w:cs="Arial" w:eastAsia="Arial" w:hAnsi="Arial"/>
          <w:sz w:val="16"/>
          <w:szCs w:val="16"/>
          <w:color w:val="000000"/>
        </w:rPr>
        <w:t xml:space="preserve">In </w:t>
      </w:r>
      <w:r>
        <w:rPr>
          <w:rFonts w:ascii="Arial" w:cs="Arial" w:eastAsia="Arial" w:hAnsi="Arial"/>
          <w:sz w:val="16"/>
          <w:szCs w:val="16"/>
          <w:color w:val="231F20"/>
        </w:rPr>
        <w:t>2016</w:t>
      </w:r>
      <w:r>
        <w:rPr>
          <w:rFonts w:ascii="Arial" w:cs="Arial" w:eastAsia="Arial" w:hAnsi="Arial"/>
          <w:sz w:val="16"/>
          <w:szCs w:val="16"/>
          <w:color w:val="000000"/>
        </w:rPr>
        <w:t>, the flavors, fragrances and cosmetic actives and functional ingredients market, in which we compete, was estimated by management to be approximately $20.0 billion and is forecasted to grow approximately 2-3% by 2020, primarily driven by expected growth in emerging markets; however the exact size of the global market is not available due to fragmentation of data. We, together with the other top three companies, are estimated to represent approximately two-thirds of the total estimated sales in the global flavors and fragrances sub-segment of the broader market.</w:t>
      </w:r>
    </w:p>
    <w:p>
      <w:pPr>
        <w:spacing w:after="0" w:line="11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Development of new flavors and fragrance compounds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It then becomes a collaborative process between our researchers, our product development team and our customers to perfect the flavor or fragrance so that it is ready to be included in the final consumer product.</w:t>
      </w:r>
    </w:p>
    <w:p>
      <w:pPr>
        <w:spacing w:after="0" w:line="13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April 7, 2017, we completed the acquisition of Columbia PhytoTechnology, LLC d/b/a PowderPure ("PowderPure"), a processor of all-natural food ingredients, for approximately $55.0 million. The purchase price was funded from existing resources including drawdown on our credit facility and proceeds from commercial paper. This acquisition will be accounted for as a business combination and is not expected to have a material impact on the consolidated statement of comprehensive income for 2017.</w:t>
      </w:r>
    </w:p>
    <w:p>
      <w:pPr>
        <w:spacing w:after="0" w:line="13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January 17, 2017, we completed the acquisition of Fragrance Resources, a creator of specialty fine fragrances, for approximately Euro 142.0 million (approximately $150.5 million). The purchase price was funded from existing resources including drawdown on our credit facility and proceeds from commercial paper. The acquisition strengthened our fragrances market position in North America and Germany. This acquisition was accounted for as a business combination and is not expected to have a material impact on the consolidated statement of comprehensive income for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2017 Overview</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Net sales during the first quarter of 2017 increased 6% on a reported basis and 7% on a currency neutral basis (which excludes the effects of changes in currency) versus the 2016 period, with the effect of acquisitions contributing approximately 5% to both reported and currency neutral growth rates. Sales growth, excluding acquisitions, reflects new win performance (net of losses) partially offset by volume declines on existing business in both Flavors and Fragrances and unfavorable pricing in Fragrances.</w:t>
      </w:r>
    </w:p>
    <w:p>
      <w:pPr>
        <w:spacing w:after="0" w:line="13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Exchange rate fluctuations had a 100 basis point (bps) unfavorable impact on net sales for the first quarter, due to the strengthening of the U.S. dollar. The effect of exchange rates can vary by business and region, depending upon the mix of sales by destination country as well as the relative percentage of local sales priced in U.S. dollars versus local currencies.</w:t>
      </w:r>
    </w:p>
    <w:p>
      <w:pPr>
        <w:spacing w:after="0" w:line="12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Gross margins decreased year-over-year to 44.0% in the first quarter of 2017 from 46.0% in the 2016 period driven primarily by unfavorable price versus input costs and manufacturing performance which were only partially offset by cost savings and productivity initiatives and the impact of acquisitions. Included in the first quarter of 2017 was $6.0 million of acquisition-related amortization of inventory "step-up" costs, operational improvement initiative costs and integration-related costs compared to $1.3 million of acquisition-related amortization of inventory "step-up" costs, operational improvement initiative costs and restructuring costs included in the first quarter of 2016. Excluding these items, gross margin decreased 140 bps compared to the prior year period. The overall raw material cost base continues to be relatively stable, but upward trending. We believe that we will continue to see higher prices on certain categories (such as vanilla and citrus) and to a lesser extent oil-based derivatives that are expected to continue in 2017. We continue to seek improvements in our margins through operational performance, cost reduction efforts and mix enhancement.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Reported sales in the first quarter of 2017 increased approximately 6%. We continue to benefit from our diverse portfolio of end-use product categories and geographies and had currency neutral growth in three of our four regions and all four of our end-use product categories. Flavors achieved reported sales growth of 9% and currency neutral growth of 10%, with the effect of acquisitions contributing approximately 6% to both reported and currency neutral growth rates. Fragrances achieved both reported and currency neutral sales growth of 3%, with the effect of acquisitions contributing approximately 4% to both reported and currency neutral growth rates. Sales growth excluding acquisitions was driven by new win performance partially offset by volume declines on existing business in both Flavors and Fragrances and unfavorable pricing in Fragrances. Additionally, Fragrance Ingredients sales were up 1% on a reported basis and 2% on a currency neutral basis. Overall, our first quarter 2017 results include 1% growth from emerging markets and 4% growth from developed markets which each represented 50% of total sales. From a geographic perspective, for the first quarter, North America (NOAM), Europe, Africa and the Middle East (EAME) and Greater Asia (GA) all delivered sales growth in 2017, led by NOAM with 14%. Latin America (LA) sales declined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Operating profit decreased $32.5 million to $137.4 million (16.6% of sales) in the 2017 first quarter compared to $169.9 million (21.7% of sales) in the comparable 2016 period. The first quarter of 2017 included $26.1 million of restructuring, acquisition-related, tax assessment, integration-related and operational improvement initiative costs as well as gains on sales of fixed assets compared to a benefit of $2.8 million related to gains on sales of fixed assets and a favorable legal settlement, which were only partially offset by acquisition-related, restructuring and operational improvement initiative costs in the prior year period. Excluding these charges, adjusted operating profit was $163.5 million (19.7% of sales) for the first quarter of 2017, a decrease from $167.2 million (21.3% of sales) for the first quarter of 2016. Foreign currency changes had a 5% unfavorable impact on operating profit in the 2017 period compared to an unfavorable impact on operating profit of approximately 4% in the 2016 period versus the 2015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Other (income) expense, net increased $16.4 million to $13.9 million of income in the first quarter of 2017 compared to $2.6 million of expense in the first quarter of 2016. The year-over-year increase is primarily driven by a foreign currency exchange gain from the release of a currency translation adjustment ("CTA") upon the liquidation of a foreign entity in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Net income decreased by $2.8 million quarter-over-quarter to $115.8 million for the first quarter of 2017, driven by the factors discussed above as well as a lower effective tax rate during the 2017 period as compared to the 2016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Cash flows from operations for the three months ended March 31, 2017 were $21.7 million or 2.6% of sales, compared to $39.9 million or 5.1% of sales for the three months ended March 31, 2016. The decrease in cash flows from operations in 2017 was principally driven by higher pension and incentive compensation payments which were only partially offset by lower outflows for working capital for the 2017 period as compared to the 2016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420" w:type="dxa"/>
            <w:vAlign w:val="bottom"/>
            <w:gridSpan w:val="3"/>
          </w:tcPr>
          <w:p>
            <w:pPr>
              <w:ind w:left="40"/>
              <w:spacing w:after="0" w:line="143" w:lineRule="exact"/>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4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i w:val="1"/>
                <w:iCs w:val="1"/>
                <w:color w:val="auto"/>
              </w:rPr>
              <w:t>EXCEPT PER SHARE AMOUNTS)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828,293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783,312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463,627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423,103</w:t>
            </w: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364,666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360,209</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(R&amp;D) expenses</w:t>
            </w:r>
          </w:p>
        </w:tc>
        <w:tc>
          <w:tcPr>
            <w:tcW w:w="32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69,711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63,385</w:t>
            </w: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123,543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2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6,061</w:t>
            </w:r>
          </w:p>
        </w:tc>
        <w:tc>
          <w:tcPr>
            <w:tcW w:w="10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Gain on sales of fixed assets</w:t>
            </w:r>
          </w:p>
        </w:tc>
        <w:tc>
          <w:tcPr>
            <w:tcW w:w="32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(2,713)</w:t>
            </w: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137,437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169,933</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12,807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12,478</w:t>
            </w: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7"/>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138,487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154,896</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22,723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36,293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7"/>
        </w:trPr>
        <w:tc>
          <w:tcPr>
            <w:tcW w:w="74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115,764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118,603</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0"/>
        </w:trPr>
        <w:tc>
          <w:tcPr>
            <w:tcW w:w="742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21.3%</w:t>
            </w:r>
          </w:p>
        </w:tc>
        <w:tc>
          <w:tcPr>
            <w:tcW w:w="1020" w:type="dxa"/>
            <w:vAlign w:val="bottom"/>
          </w:tcPr>
          <w:p>
            <w:pPr>
              <w:jc w:val="right"/>
              <w:ind w:right="91"/>
              <w:spacing w:after="0"/>
              <w:rPr>
                <w:sz w:val="20"/>
                <w:szCs w:val="20"/>
                <w:color w:val="auto"/>
              </w:rPr>
            </w:pPr>
            <w:r>
              <w:rPr>
                <w:rFonts w:ascii="Arial" w:cs="Arial" w:eastAsia="Arial" w:hAnsi="Arial"/>
                <w:sz w:val="18"/>
                <w:szCs w:val="18"/>
                <w:i w:val="1"/>
                <w:iCs w:val="1"/>
                <w:color w:val="auto"/>
              </w:rPr>
              <w:t>(160)</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3"/>
        </w:trPr>
        <w:tc>
          <w:tcPr>
            <w:tcW w:w="74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406,164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372,508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2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422,129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410,804</w:t>
            </w: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828,293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783,312</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20" w:hanging="316"/>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margin excludes $26.1 million consisting of restructuring, acquisition-related, tax assessment, integration-related and operational improvement initiative costs as well as gains on sales of fixed assets for the three months ended March 31, 2017 and excludes a benefit of $2.8 million related to gains on sales of fixed assets and a favorable legal settlement, which were only partially offset by acquisition-related, restructuring and operational improvement initiative costs for the three months ended March 31, 2016.</w:t>
      </w:r>
    </w:p>
    <w:p>
      <w:pPr>
        <w:spacing w:after="0" w:line="13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2017 IN COMPARISON TO FIRST QUARTER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Sales for the first quarter of 2017 totaled $828.3 million, an increase of 6% from the prior year quarter. On a currency neutral basis sales increased 7%. Sales growth reflected new win performance partially offset by volume declines on existing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ind w:right="400"/>
        <w:spacing w:after="0" w:line="277" w:lineRule="auto"/>
        <w:rPr>
          <w:sz w:val="20"/>
          <w:szCs w:val="20"/>
          <w:color w:val="auto"/>
        </w:rPr>
      </w:pPr>
      <w:r>
        <w:rPr>
          <w:rFonts w:ascii="Arial" w:cs="Arial" w:eastAsia="Arial" w:hAnsi="Arial"/>
          <w:sz w:val="18"/>
          <w:szCs w:val="18"/>
          <w:color w:val="auto"/>
        </w:rPr>
        <w:t>business in both Flavors and Fragrances and unfavorable pricing in Fragrances. On both a reported and currency neutral basis, acquisitions accounted for approximately 5% of the net sales growth.</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Flavors reported sales increased 9% from the prior year period while currency neutral sales increased 10% during the first quarter of 2017 compared to the 2016 period. Acquisitions accounted for approximately 6% of the net sales growth on both a reported and currency neutral basis. Sales growth excluding acquisitions reflected new win performance which was partially offset by volume declines on existing business. Overall growth was primarily driven by low to high single-digit growth in all four end-use categories. The Flavors business delivered sales growth in NOAM, LA and GA, led by NOAM and experienced flat sales growth in EAME. Sales in NOAM were led by double-digit growth in Savory and Dairy. LA were led by double-digit gains in Savory and Dairy. Sales in GA were driven by double-digit gains in Beverage. EAME sales experienced high single-digit gains in Savory and Sweet which were offset by the effects of currency.</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Fragrances sales increased 3% on both a reported basis and currency neutral basis for the first quarter of 2017 compared to the first quarter of 2016. Acquisitions accounted for approximately 4% of both reported and currency neutral sales growth. Excluding the effect of acquisitions, sales declines reflected new win performance which was more than offset by volume declines on existing business and unfavorable price versus input costs. Net sales was primarily driven by double-digit growth in Fine Fragrances and low single-digit growth in Fabric Care and Fragrance Ingredients.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7"/>
          </w:tcPr>
          <w:p>
            <w:pPr>
              <w:ind w:left="980"/>
              <w:spacing w:after="0"/>
              <w:rPr>
                <w:sz w:val="20"/>
                <w:szCs w:val="20"/>
                <w:color w:val="auto"/>
              </w:rPr>
            </w:pPr>
            <w:r>
              <w:rPr>
                <w:rFonts w:ascii="Arial" w:cs="Arial" w:eastAsia="Arial" w:hAnsi="Arial"/>
                <w:sz w:val="14"/>
                <w:szCs w:val="14"/>
                <w:b w:val="1"/>
                <w:bCs w:val="1"/>
                <w:color w:val="auto"/>
                <w:w w:val="97"/>
              </w:rPr>
              <w:t>% Change in Sales - First Quarter 2017 vs. First Quarter 2016</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8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 Frag.</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Flavors</w:t>
            </w:r>
          </w:p>
        </w:tc>
        <w:tc>
          <w:tcPr>
            <w:tcW w:w="12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ind w:left="840"/>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2017 period.</w:t>
      </w:r>
    </w:p>
    <w:p>
      <w:pPr>
        <w:spacing w:after="0" w:line="210" w:lineRule="exact"/>
        <w:rPr>
          <w:rFonts w:ascii="Arial" w:cs="Arial" w:eastAsia="Arial" w:hAnsi="Arial"/>
          <w:sz w:val="18"/>
          <w:szCs w:val="18"/>
          <w:color w:val="auto"/>
        </w:rPr>
      </w:pPr>
    </w:p>
    <w:p>
      <w:pPr>
        <w:ind w:left="660" w:right="200" w:hanging="328"/>
        <w:spacing w:after="0" w:line="271"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NOAM Flavors sales growth, which included the impact of acquisitions, primarily reflected double-digit growth in Savory and Dairy, mid single-digit growth in Sweet partially offset by mid single-digit declines in Beverage. Total Fragrances sales growth reflected double-digit gains in Fabric Care and mid single-digit growth in Hair Care, which was partially offset by double-digit declines in Fragrance Ingredients.</w:t>
      </w:r>
    </w:p>
    <w:p>
      <w:pPr>
        <w:ind w:left="660" w:right="100" w:hanging="328"/>
        <w:spacing w:after="0" w:line="250"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EAME Flavors sales experienced high single-digit gains in Savory and Sweet which were offset by the effects of currency. Total Fragrances sales growth was driven mainly by double-digit growth in Fragrance Ingredients and Fine Fragrances as well as high single-digit growth in Hair Care and mid single-digit growth in Home Care.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LA Flavors sales growth was driven by double-digit gains in Savory and Dairy. Total Fragrances sales declines reflected double-digit gains in Fragrance Ingredients, which were more than offset by double-digit declines in Fine Fragrances and Hair Care as well as high single-digit declines in Home Care and Personal Wash.</w:t>
      </w:r>
    </w:p>
    <w:p>
      <w:pPr>
        <w:spacing w:after="0" w:line="1" w:lineRule="exact"/>
        <w:rPr>
          <w:rFonts w:ascii="Arial" w:cs="Arial" w:eastAsia="Arial" w:hAnsi="Arial"/>
          <w:sz w:val="18"/>
          <w:szCs w:val="18"/>
          <w:color w:val="auto"/>
        </w:rPr>
      </w:pPr>
    </w:p>
    <w:p>
      <w:pPr>
        <w:ind w:left="660" w:right="340" w:hanging="328"/>
        <w:spacing w:after="0" w:line="290"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GA Flavors sales growth was driven by double-digit gains in Beverage. Total Fragrances sales growth was principally driven by mid single-digit gains in Personal Wash and Fabric Care which were partially offset by double-digit declines in Fragrance Ingredients.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Cost of goods sold, as a percentage of sales, increased 200 bps to 56.0% in the first quarter of 2017 compared to 54.0% in the first quarter of 2016, principally driven by unfavorable manufacturing performance and price versus input costs which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65" w:right="239" w:bottom="1440" w:gutter="0" w:footer="0" w:header="0"/>
        </w:sectPr>
      </w:pPr>
    </w:p>
    <w:bookmarkStart w:id="24" w:name="page25"/>
    <w:bookmarkEnd w:id="24"/>
    <w:p>
      <w:pPr>
        <w:ind w:right="40"/>
        <w:spacing w:after="0" w:line="286" w:lineRule="auto"/>
        <w:rPr>
          <w:sz w:val="20"/>
          <w:szCs w:val="20"/>
          <w:color w:val="auto"/>
        </w:rPr>
      </w:pPr>
      <w:r>
        <w:rPr>
          <w:rFonts w:ascii="Arial" w:cs="Arial" w:eastAsia="Arial" w:hAnsi="Arial"/>
          <w:sz w:val="17"/>
          <w:szCs w:val="17"/>
          <w:color w:val="auto"/>
        </w:rPr>
        <w:t>only partially offset by cost savings and productivity initiatives and the impact of acquisitions. Included in cost of goods sold was $6.0 million of acquisition-related amortization of inventory "step-up" costs, operational improvement initiative costs and integration-related costs in 2017 compared to $1.3 million of acquisition-related amortization of inventory "step-up" costs, operational improvement initiative costs and restructuring costs in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Overall R&amp;D expenses, as a percentage of sales, increased compared to the prior year period to 8.4% in the first quarter of 2017 versus 8.1% in the first quarter of 2016. This increase was primarily driven by costs associated with R&amp;D of acquired entities.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S&amp;A expenses increased $16.8 million to $140.3 million or 16.9%, as a percentage of sales, in the first quarter of 2017 compared to 15.8% in the first quarter of 2016. The $16.8 million increase was principally due to costs associated with S&amp;A expenses of acquired entities and approximately $9.8 million of expense related to a tax assessment from prior year and acquisition-related costs in 2017. Excluding the $9.8 million of tax assessment, acquisition-related and integration-related costs included in 2017 and the benefit of $1.3 million of credits related to adjustment of a legal reserve partially offset by acquisition-related costs in 2016, adjusted S&amp;A expenses increased by $5.7 million and was 15.8% of sales in 2017 compared to 15.9%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9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the Company expects to optimize its global footprint and simplify its organizational structures globally. In connection with this initiative, the Company expects to incur cumulative, pre-tax cash charges of between $30-$35 million, consisting primarily of $21-$22 million in personnel-related costs and an estimated $9-$13 million in facility-related costs, such as lease termination, and integration-related costs. In addition, the Company may incur up to $5 million of accelerated depreciation. The Company recorded $10.1 million of these charges related to personnel-related costs and lease termination costs in the first quarter of 2017, with the remainder of the personnel-related costs expected to be recognized by the end of 2017 and the other costs expected to be recognized over the following seven quarters. During 2017, the Company made payments of $2.1 million related to severance. The overall charges are split approximately evenly between Flavors and Fragrances. This initiative is expected to result in the reduction of approximately 370 members of the Company’s global workforce in various parts of the organization. Once fully implemented, the Company expects to realize annual run-rate savings of between $40 million and $45 million from this program by 2019.</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Severance Charges</w:t>
      </w:r>
    </w:p>
    <w:p>
      <w:pPr>
        <w:spacing w:after="0" w:line="9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During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the Company recorded charges for severance and related costs pertaining to approximately 150 positions that have been affected. During 2017, the Company made payments of $0.2 million related to severance. The total cost of the plan is expected to be approximately $8.8 million with the remaining charges relating principally to accelerated depreciation. The Company expects the plan to be fully completed by the second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Amortization expenses increased to $7.1 million in the first quarter of 2017 compared to $6.1 million in the first quarter of 2016. The increase is principally driven by the acquisitions of Fragrance Resources in 2017 and David Michael during the second half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65"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98,010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91,813</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81,700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89,237</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(16,200)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(13,870)</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(8,788)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(1,037)</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Legal (charges) credits</w:t>
            </w:r>
          </w:p>
        </w:tc>
        <w:tc>
          <w:tcPr>
            <w:tcW w:w="4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1,446</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sales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2,713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Tax assessment</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(5,350)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Integration-related costs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137,437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169,933</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 margin:</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Flavors segment profit increased to $98.0 million in the first quarter of 2017, or 24.1% as a percentage of sales, compared to $91.8 million, or 24.6% as a percentage of sales, in the comparable 2016 period. The increase principally reflects favorable volume and costs savings and productivity initiatives which were only partially offset by unfavorable price versus input costs as well as a reserve for a product liability sales allowance.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Fragrances segment profit decreased approximately 8.4% to $81.7 million in the first quarter of 2017, or 19.4% as a percentage of sales, compared to $89.2 million, or 21.7% as a percentage of sales, in the comparable 2016 period. The decrease in segment profit and profit margin was primarily due to unfavorable price versus input cost and manufacturing performance which was only partially offset by the cost savings and productivity initiatives.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Global expenses represent corporate and headquarters-related expenses which include legal, finance, human resources and R&amp;D and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that are not allocated to an individual business unit. In the first quarter of 2017, Global expenses were $16.2 million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$13.9 million during the first quarter of 2016. The increase was principally driven by lower benefits from our currency hedging program and higher deferred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Interest expense increased slightly to $12.8 million in the first quarter of 2017 compared to $12.5 million in the 2016 period. Average cost of debt was 3.6% for the 2017 period compared to 3.9% for the 2016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Other (income) expense, net increased by approximately $16.4 million to $13.9 million of income in the first quarter of 2017 versus $2.6 million of expense in the comparable 2016 period. The year-over-year increase is primarily driven by the release of a currency translation adjustment (CTA) related to the liquidation of a foreign entity in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effective tax rate for the three months ended March 31, 2017 was 16.4% compared with 23.4% for the three months ended March 31, 2016. The quarter-over-quarter decrease is largely due to various discrete items (including the effect of accrual to return adjustments, certain non-taxable gains on foreign currency and the impact of adopting the new accounting guidance on the tax effect of stock compensation vesting), a more favorable mix of earnings and the impact of the global supply chain hub, offset by unfavorable repatriation costs as compared to the prior year. Excluding the $8.5 million tax benefit associated with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38" w:right="259" w:bottom="1440" w:gutter="0" w:footer="0" w:header="0"/>
        </w:sectPr>
      </w:pPr>
    </w:p>
    <w:bookmarkStart w:id="26" w:name="page27"/>
    <w:bookmarkEnd w:id="26"/>
    <w:p>
      <w:pPr>
        <w:spacing w:after="0" w:line="276" w:lineRule="auto"/>
        <w:rPr>
          <w:sz w:val="20"/>
          <w:szCs w:val="20"/>
          <w:color w:val="auto"/>
        </w:rPr>
      </w:pPr>
      <w:r>
        <w:rPr>
          <w:rFonts w:ascii="Arial" w:cs="Arial" w:eastAsia="Arial" w:hAnsi="Arial"/>
          <w:sz w:val="17"/>
          <w:szCs w:val="17"/>
          <w:color w:val="auto"/>
        </w:rPr>
        <w:t>pre-tax restructuring, acquisition-related, tax assessment, integration-related and operational improvement initiative costs partially offset by the tax charge associated with gains on sales of fixed assets and the non-taxable gains on foreign currency in the current quarter, the first quarter 2017 adjusted effective tax rate was 20.5%, or 300 bps lower than the first quarter 2016 adjusted effective tax rate of 23.5%. The 2016 adjusted effective tax rate excluded $0.5 million of tax charges associated with gains on sales of fixed assets and a favorable legal settlement which were only partially offset by tax benefits related to the pre-tax acquisition-related, restructuring and operational improvement initiative costs.</w:t>
      </w:r>
    </w:p>
    <w:p>
      <w:pPr>
        <w:spacing w:after="0" w:line="3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a result of the adoption of ASU 2016-09, as discussed in Note 1 to our Consolidated Financial Statements, current income tax expense now includes the tax benefit of equity award vestings of $0.8 million for the three months ended March 31, 2017. In recent years, the tax benefit on these vestings was $4.5 million, $9.9 million and $5.3 million in 2014, 2015 and 2016, respectively. The majority of the 2017 benefit is expected to be recorded during the second quarter of 2017.</w:t>
      </w:r>
    </w:p>
    <w:p>
      <w:pPr>
        <w:spacing w:after="0" w:line="183"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Liquidity and Capital Resources</w:t>
      </w:r>
    </w:p>
    <w:p>
      <w:pPr>
        <w:spacing w:after="0" w:line="117" w:lineRule="exact"/>
        <w:rPr>
          <w:sz w:val="20"/>
          <w:szCs w:val="20"/>
          <w:color w:val="auto"/>
        </w:rPr>
      </w:pPr>
    </w:p>
    <w:p>
      <w:pPr>
        <w:jc w:val="center"/>
        <w:ind w:right="89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had cash and cash equivalents of $300.1 million at March 31, 2017 compared to $324.0 million at December 31, 2016, of which $244.2 million of the balance at March 31, 2017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substantially all of the accumulated undistributed earnings of our foreign subsidiaries because we have the ability and plan to reinvest these indefinitely.</w:t>
      </w:r>
    </w:p>
    <w:p>
      <w:pPr>
        <w:spacing w:after="0" w:line="13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Net cash from operating activities in the first three months of 2017 was $21.7 million compared to $39.9 million in the first three months of 2016. The decrease in cash from operating activities for the first three months of 2017 compared to 2016 was principally driven by higher pension and incentive compensation payments which were only partially offset by lower core working capital requirements in the 2017 period as compared to 2016 period.</w:t>
      </w:r>
    </w:p>
    <w:p>
      <w:pPr>
        <w:spacing w:after="0" w:line="9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Working capital (current assets less current liabilities) totaled $725.6 million at March 31, 2017, compared to $710.7 million at December 31, 2016.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provided by operations from participating in these programs decreased approximately $27.1 million for the three months ended March 31, 2017 compared to a decrease of approximately $4.7 million for the three months ended March 31, 2016. The cost of participating in these programs was immaterial to our results in all periods.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Net investing activities during the first three months of 2017 used $162.2 million compared to $21.1 million in the prior year period. The increase in cash used in investing activities principally reflects the acquisition of Fragrance Resources in 2017 for approximately $138.1 million (net of cash acquired). Additions to property, plant and equipment were $26.7 million during the first three months of 2017 compared to $22.5 million in the first three months of 2016. We expect additions to property, plant and equipment will be approximately 5% of our sales (net of potential grants and other reimbursements from government authorities) in 2017.</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financing activities in the first three months of 2017 decreased to $113.7 million of cash inflows compared to $331.0 million of cash inflows in the first three months of 2016, principally driven by lower proceeds from debt in the 2017 period compared to the 2016 period, which included the issuance of the Euro Senior Notes - 2016.</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2017, we had $1,552.1 million of debt outstanding compared to $1,325.4 million outstanding at December 31, 2016.</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paid dividends totaling $50.7 million in the 2017 period. We declared a cash dividend per share of $0.64 in the first quarter of 2017 that was paid on April 7, 2017 to all shareholders of record as of March 27,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65" w:right="239" w:bottom="1440" w:gutter="0" w:footer="0" w:header="0"/>
        </w:sectPr>
      </w:pPr>
    </w:p>
    <w:bookmarkStart w:id="27" w:name="page28"/>
    <w:bookmarkEnd w:id="27"/>
    <w:p>
      <w:pPr>
        <w:ind w:firstLine="432"/>
        <w:spacing w:after="0" w:line="255" w:lineRule="auto"/>
        <w:rPr>
          <w:sz w:val="20"/>
          <w:szCs w:val="20"/>
          <w:color w:val="auto"/>
        </w:rPr>
      </w:pPr>
      <w:r>
        <w:rPr>
          <w:rFonts w:ascii="Arial" w:cs="Arial" w:eastAsia="Arial" w:hAnsi="Arial"/>
          <w:sz w:val="18"/>
          <w:szCs w:val="18"/>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$71.7 million available under the amended repurchase program, approximately 0.5 million shares, or 0.7% of shares outstanding (based on the market price and shares outstanding as of March 31, 2017) could be repurchased under the program as of March 31, 2017. 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Based on our leverage ratios and general market interest rate expectations, we anticipate evaluating refinancing opportunities during 2017, subject to market conditions. We believe our existing cash balances are sufficient to meet our debt service requirements.</w:t>
      </w:r>
    </w:p>
    <w:p>
      <w:pPr>
        <w:spacing w:after="0" w:line="13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Commercial paper issued by the Company generally has terms of 90 days or less. As of March 31, 2017, there was $107.4 million of commercial paper outstanding, which had a weighted average effective interest rate of 1.14%. As of March 31, 2017, commercial paper maturities did not extend for more than 30 days. The revolving credit facility is used as a backstop for the Company's commercial paper program. No commercial paper was issued during the three months ended March 31, 2016.</w:t>
      </w:r>
    </w:p>
    <w:p>
      <w:pPr>
        <w:spacing w:after="0" w:line="134"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We expect to contribute a total of approximately $10 million to our U.S. pension plans during 2017. During the three months ended March 31, 2017, no contributions were made to our qualified U.S. pension plans and $24.2 million contributions were made to our non-U.S. pension plans.</w:t>
      </w:r>
    </w:p>
    <w:p>
      <w:pPr>
        <w:spacing w:after="0" w:line="93"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As of March 31, 2017, we had $102.3 million of borrowings under our revolving credit facility. The amount which we are able to draw down on under the facility is limited by financial covenants as described in more detail below. Our draw down capacity on the facility was $847.7 million at March 31, 2017.</w:t>
      </w:r>
    </w:p>
    <w:p>
      <w:pPr>
        <w:spacing w:after="0" w:line="70"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March 31, 2017 our covenant compliance provided overall borrowing capacity of $1,399 million.</w:t>
      </w:r>
    </w:p>
    <w:p>
      <w:pPr>
        <w:spacing w:after="0" w:line="127" w:lineRule="exact"/>
        <w:rPr>
          <w:sz w:val="20"/>
          <w:szCs w:val="20"/>
          <w:color w:val="auto"/>
        </w:rPr>
      </w:pPr>
    </w:p>
    <w:p>
      <w:pPr>
        <w:ind w:right="60" w:firstLine="432"/>
        <w:spacing w:after="0" w:line="239" w:lineRule="auto"/>
        <w:rPr>
          <w:sz w:val="20"/>
          <w:szCs w:val="20"/>
          <w:color w:val="auto"/>
        </w:rPr>
      </w:pPr>
      <w:r>
        <w:rPr>
          <w:rFonts w:ascii="Arial" w:cs="Arial" w:eastAsia="Arial" w:hAnsi="Arial"/>
          <w:sz w:val="18"/>
          <w:szCs w:val="18"/>
          <w:color w:val="auto"/>
        </w:rPr>
        <w:t xml:space="preserve">At March 31, 2017, we were in compliance with all financial and other covenants, including the net debt to adjusted EBITDA ratio. At March 31, 2017 our Net Debt/adjusted EBITDA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ratio, as defined by the debt agreements, was 1.65 to 1,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179" w:lineRule="exact"/>
        <w:rPr>
          <w:sz w:val="20"/>
          <w:szCs w:val="20"/>
          <w:color w:val="auto"/>
        </w:rPr>
      </w:pPr>
    </w:p>
    <w:p>
      <w:pPr>
        <w:ind w:left="540" w:right="60" w:hanging="316"/>
        <w:spacing w:after="0" w:line="259" w:lineRule="auto"/>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8" w:name="page29"/>
    <w:bookmarkEnd w:id="28"/>
    <w:p>
      <w:pPr>
        <w:spacing w:after="0" w:line="2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p>
      <w:pPr>
        <w:ind w:left="40"/>
        <w:spacing w:after="0" w:line="230" w:lineRule="auto"/>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p>
      <w:pPr>
        <w:ind w:left="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i w:val="1"/>
          <w:iCs w:val="1"/>
          <w:color w:val="auto"/>
        </w:rPr>
        <w:t>Twelve Months Ended March 31,</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20955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i w:val="1"/>
          <w:iCs w:val="1"/>
          <w:color w:val="auto"/>
        </w:rPr>
        <w:t>$</w:t>
      </w:r>
      <w:r>
        <w:rPr>
          <w:sz w:val="20"/>
          <w:szCs w:val="20"/>
          <w:color w:val="auto"/>
        </w:rPr>
        <w:tab/>
      </w:r>
      <w:r>
        <w:rPr>
          <w:rFonts w:ascii="Arial" w:cs="Arial" w:eastAsia="Arial" w:hAnsi="Arial"/>
          <w:sz w:val="16"/>
          <w:szCs w:val="16"/>
          <w:i w:val="1"/>
          <w:iCs w:val="1"/>
          <w:color w:val="auto"/>
        </w:rPr>
        <w:t>402.2</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105.1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77.5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31750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i w:val="1"/>
          <w:iCs w:val="1"/>
          <w:color w:val="auto"/>
        </w:rPr>
        <w:t>$</w:t>
      </w:r>
      <w:r>
        <w:rPr>
          <w:sz w:val="20"/>
          <w:szCs w:val="20"/>
          <w:color w:val="auto"/>
        </w:rPr>
        <w:tab/>
      </w:r>
      <w:r>
        <w:rPr>
          <w:rFonts w:ascii="Arial" w:cs="Arial" w:eastAsia="Arial" w:hAnsi="Arial"/>
          <w:sz w:val="16"/>
          <w:szCs w:val="16"/>
          <w:i w:val="1"/>
          <w:iCs w:val="1"/>
          <w:color w:val="auto"/>
        </w:rPr>
        <w:t>757.3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1595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220" w:space="720"/>
            <w:col w:w="2480"/>
          </w:cols>
          <w:pgMar w:left="240" w:top="742" w:right="239" w:bottom="1440" w:gutter="0" w:footer="0" w:header="0"/>
        </w:sectPr>
      </w:pPr>
    </w:p>
    <w:p>
      <w:pPr>
        <w:spacing w:after="0" w:line="63" w:lineRule="exact"/>
        <w:rPr>
          <w:sz w:val="20"/>
          <w:szCs w:val="20"/>
          <w:color w:val="auto"/>
        </w:rPr>
      </w:pPr>
    </w:p>
    <w:p>
      <w:pPr>
        <w:jc w:val="both"/>
        <w:ind w:left="340" w:right="780" w:hanging="332"/>
        <w:spacing w:after="0" w:line="256"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March 31, 2017 of $77.5 million consist of legal charges/credits, acquisition-related costs, operational improvement initiative costs, restructuring and other charges, gains on sales of fixed assets, integration-related costs, tax assessment and CTA realization.</w:t>
      </w:r>
    </w:p>
    <w:p>
      <w:pPr>
        <w:ind w:left="340" w:right="120" w:hanging="332"/>
        <w:spacing w:after="0" w:line="261"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and stock-based compensation.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416"/>
              <w:spacing w:after="0"/>
              <w:rPr>
                <w:sz w:val="20"/>
                <w:szCs w:val="20"/>
                <w:color w:val="auto"/>
              </w:rPr>
            </w:pPr>
            <w:r>
              <w:rPr>
                <w:rFonts w:ascii="Arial" w:cs="Arial" w:eastAsia="Arial" w:hAnsi="Arial"/>
                <w:sz w:val="14"/>
                <w:szCs w:val="14"/>
                <w:i w:val="1"/>
                <w:iCs w:val="1"/>
                <w:color w:val="auto"/>
              </w:rPr>
              <w:t>March 31,</w:t>
            </w:r>
          </w:p>
        </w:tc>
      </w:tr>
      <w:tr>
        <w:trPr>
          <w:trHeight w:val="209"/>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i w:val="1"/>
                <w:iCs w:val="1"/>
                <w:color w:val="auto"/>
              </w:rPr>
              <w:t>2017</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1,552.1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w:t>
            </w:r>
          </w:p>
        </w:tc>
      </w:tr>
      <w:tr>
        <w:trPr>
          <w:trHeight w:val="243"/>
        </w:trPr>
        <w:tc>
          <w:tcPr>
            <w:tcW w:w="98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(300.1)</w:t>
            </w:r>
          </w:p>
        </w:tc>
      </w:tr>
      <w:tr>
        <w:trPr>
          <w:trHeight w:val="27"/>
        </w:trPr>
        <w:tc>
          <w:tcPr>
            <w:tcW w:w="9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1,251.2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As discussed in Note 13 to the Consolidated Financial Statements, at March 31, 2017,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This Quarterly Report includes “forward-looking statements” under the Federal Private Securities Litigation Reform Act of 1995, including statements regarding (i) expected cost pressures in 2017, (ii) capital spending in 2017, (iii) cash flows to fund future operations and to meet debt service requirements, and (iv) our plans and intentions to indefinitely reinvest undistributed foreign earnings in our foreign subsidiaries to fund local operations and/or capital projects.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“will,” “expect,” “anticipate,” “believe,” “outlook,” “may,” “estimate,” “should,” “intend,” “plan”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17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macroeconomic trends affecting the emerging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implement and adapt our Vision 2020 strategy;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identify and complete acquisitions in line with our Vision 2020 strategy, and to realize the anticipated benefits of those acquisitions;</w:t>
      </w:r>
    </w:p>
    <w:p>
      <w:pPr>
        <w:ind w:left="660" w:right="6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compete in our market, and to successfully develop new and competitive products that appeal to our customers and consumers;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preferences and demand for our products or a decline in consumer confidence and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impact of currency fluctuations or devaluations in the principal foreign markets in which we operate, including the devaluation of the Euro;</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type w:val="continuous"/>
        </w:sectPr>
      </w:pPr>
    </w:p>
    <w:bookmarkStart w:id="29" w:name="page30"/>
    <w:bookmarkEnd w:id="29"/>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potential adverse impact of Brexit on currency exchange rates, global economic conditions and cross-border agreements that affect our business;</w:t>
      </w:r>
    </w:p>
    <w:p>
      <w:pPr>
        <w:spacing w:after="0" w:line="46" w:lineRule="exact"/>
        <w:rPr>
          <w:rFonts w:ascii="Arial" w:cs="Arial" w:eastAsia="Arial" w:hAnsi="Arial"/>
          <w:sz w:val="16"/>
          <w:szCs w:val="16"/>
          <w:color w:val="auto"/>
        </w:rPr>
      </w:pPr>
    </w:p>
    <w:p>
      <w:pPr>
        <w:ind w:left="660" w:right="6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economic and political risks associated with our international operations, including challenging economic conditions in China and Latin America;</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any failure of our key information technology systems or a breach of information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realize expected cost savings and efficiencies from our profitability improvement initiatives and other optimization activities;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 disruption in our supply chain or our relationship with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manage our working capital and inventory balances;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660" w:right="5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us, our operations, or our representatives by U.S. and foreign governments;</w:t>
      </w:r>
    </w:p>
    <w:p>
      <w:pPr>
        <w:ind w:left="660" w:right="5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changes in federal, state, local and international tax legislation or policies, including with respect to transfer pricing and state aid, and adverse results of tax audits, assessments, or disputes;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2016 Form 10-K for additional information regarding factors that could affect our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The Company uses non-GAAP financial operating measures in this Quarterly Report, including: (i) currency neutral sales (which eliminates the effects that result from translating its international sales in U.S. dollars), (ii) adjusted gross margin (which excludes operational initiative costs, acquisition-related costs and integration-related costs), (iii) adjusted operating profit and adjusted operating margin (which excludes legal charges/credits, acquisition-related costs, operational improvement initiative costs, restructuring and other charges, gains on sales of fixed assets, integration-related costs and tax assessments),</w:t>
      </w:r>
    </w:p>
    <w:p>
      <w:pPr>
        <w:spacing w:after="0" w:line="2" w:lineRule="exact"/>
        <w:rPr>
          <w:sz w:val="20"/>
          <w:szCs w:val="20"/>
          <w:color w:val="auto"/>
        </w:rPr>
      </w:pPr>
    </w:p>
    <w:p>
      <w:pPr>
        <w:ind w:firstLine="8"/>
        <w:spacing w:after="0" w:line="270" w:lineRule="auto"/>
        <w:tabs>
          <w:tab w:leader="none" w:pos="30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selling and administrative expenses (which excludes acquisition-related costs, tax assessments, integration-related costs and legal charges/credits) and (v) adjusted effective tax rate (which excludes legal charges/credits, acquisition-related costs, operational improvement initiative costs, restructuring and other charges, gains on sales of fixed assets, integration-related costs, tax assessment and CTA realization).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0" w:name="page31"/>
    <w:bookmarkEnd w:id="30"/>
    <w:p>
      <w:pPr>
        <w:ind w:right="20"/>
        <w:spacing w:after="0" w:line="286" w:lineRule="auto"/>
        <w:rPr>
          <w:sz w:val="20"/>
          <w:szCs w:val="20"/>
          <w:color w:val="auto"/>
        </w:rPr>
      </w:pPr>
      <w:r>
        <w:rPr>
          <w:rFonts w:ascii="Arial" w:cs="Arial" w:eastAsia="Arial" w:hAnsi="Arial"/>
          <w:sz w:val="17"/>
          <w:szCs w:val="17"/>
          <w:color w:val="auto"/>
        </w:rPr>
        <w:t>of absolute performance, trends and expected future performance with respect to our business. A material limitation of these non-GAAP measures is that such measures do not reflect actual GAAP amounts. We compensate for such limitations by using these measures as one of several metrics, including GAAP measures. These non-GAAP measures may not be comparable to similarly titled measures used by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Reconciliation of Non-GAAP Metrics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Reconciliation of Gross Profit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3"/>
              </w:rPr>
              <w:t>Reported</w:t>
            </w:r>
          </w:p>
        </w:tc>
        <w:tc>
          <w:tcPr>
            <w:tcW w:w="2120" w:type="dxa"/>
            <w:vAlign w:val="bottom"/>
            <w:gridSpan w:val="4"/>
          </w:tcPr>
          <w:p>
            <w:pPr>
              <w:jc w:val="center"/>
              <w:ind w:left="179"/>
              <w:spacing w:after="0"/>
              <w:rPr>
                <w:sz w:val="20"/>
                <w:szCs w:val="20"/>
                <w:color w:val="auto"/>
              </w:rPr>
            </w:pPr>
            <w:r>
              <w:rPr>
                <w:rFonts w:ascii="Arial" w:cs="Arial" w:eastAsia="Arial" w:hAnsi="Arial"/>
                <w:sz w:val="16"/>
                <w:szCs w:val="16"/>
                <w:b w:val="1"/>
                <w:bCs w:val="1"/>
                <w:color w:val="auto"/>
                <w:w w:val="93"/>
              </w:rPr>
              <w:t>Operational Improvement</w:t>
            </w:r>
          </w:p>
        </w:tc>
        <w:tc>
          <w:tcPr>
            <w:tcW w:w="188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Acquisition and</w:t>
            </w:r>
          </w:p>
        </w:tc>
        <w:tc>
          <w:tcPr>
            <w:tcW w:w="16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Integration related</w:t>
            </w: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w w:val="94"/>
              </w:rPr>
              <w:t>Adjusted (Non-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(GAAP)</w:t>
            </w:r>
          </w:p>
        </w:tc>
        <w:tc>
          <w:tcPr>
            <w:tcW w:w="500" w:type="dxa"/>
            <w:vAlign w:val="bottom"/>
          </w:tcPr>
          <w:p>
            <w:pPr>
              <w:spacing w:after="0"/>
              <w:rPr>
                <w:sz w:val="18"/>
                <w:szCs w:val="18"/>
                <w:color w:val="auto"/>
              </w:rPr>
            </w:pPr>
          </w:p>
        </w:tc>
        <w:tc>
          <w:tcPr>
            <w:tcW w:w="16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92"/>
              </w:rPr>
              <w:t>Initiative Costs (a)</w:t>
            </w:r>
          </w:p>
        </w:tc>
        <w:tc>
          <w:tcPr>
            <w:tcW w:w="18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Related Costs (b)</w:t>
            </w:r>
          </w:p>
        </w:tc>
        <w:tc>
          <w:tcPr>
            <w:tcW w:w="166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costs (c)</w:t>
            </w:r>
          </w:p>
        </w:tc>
        <w:tc>
          <w:tcPr>
            <w:tcW w:w="18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GAAP)</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364,666</w:t>
            </w:r>
          </w:p>
        </w:tc>
        <w:tc>
          <w:tcPr>
            <w:tcW w:w="5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621</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5,301</w:t>
            </w: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370,676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00" w:type="dxa"/>
            <w:vAlign w:val="bottom"/>
            <w:gridSpan w:val="6"/>
          </w:tcPr>
          <w:p>
            <w:pPr>
              <w:jc w:val="right"/>
              <w:spacing w:after="0"/>
              <w:rPr>
                <w:sz w:val="20"/>
                <w:szCs w:val="20"/>
                <w:color w:val="auto"/>
              </w:rPr>
            </w:pPr>
            <w:r>
              <w:rPr>
                <w:rFonts w:ascii="Arial" w:cs="Arial" w:eastAsia="Arial" w:hAnsi="Arial"/>
                <w:sz w:val="16"/>
                <w:szCs w:val="16"/>
                <w:b w:val="1"/>
                <w:bCs w:val="1"/>
                <w:color w:val="auto"/>
                <w:w w:val="91"/>
              </w:rPr>
              <w:t>Reconciliation of Selling and Administrative Expenses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Reported</w:t>
            </w:r>
          </w:p>
        </w:tc>
        <w:tc>
          <w:tcPr>
            <w:tcW w:w="2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Acquisition and Related</w:t>
            </w:r>
          </w:p>
        </w:tc>
        <w:tc>
          <w:tcPr>
            <w:tcW w:w="1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w w:val="93"/>
              </w:rPr>
              <w:t>Integration related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4"/>
          </w:tcPr>
          <w:p>
            <w:pPr>
              <w:jc w:val="center"/>
              <w:ind w:left="39"/>
              <w:spacing w:after="0"/>
              <w:rPr>
                <w:sz w:val="20"/>
                <w:szCs w:val="20"/>
                <w:color w:val="auto"/>
              </w:rPr>
            </w:pPr>
            <w:r>
              <w:rPr>
                <w:rFonts w:ascii="Arial" w:cs="Arial" w:eastAsia="Arial" w:hAnsi="Arial"/>
                <w:sz w:val="16"/>
                <w:szCs w:val="16"/>
                <w:b w:val="1"/>
                <w:bCs w:val="1"/>
                <w:color w:val="auto"/>
                <w:w w:val="92"/>
              </w:rPr>
              <w:t>Adjusted (Non-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w w:val="98"/>
              </w:rPr>
              <w:t>(GAAP)</w:t>
            </w:r>
          </w:p>
        </w:tc>
        <w:tc>
          <w:tcPr>
            <w:tcW w:w="500" w:type="dxa"/>
            <w:vAlign w:val="bottom"/>
          </w:tcPr>
          <w:p>
            <w:pPr>
              <w:spacing w:after="0"/>
              <w:rPr>
                <w:sz w:val="18"/>
                <w:szCs w:val="18"/>
                <w:color w:val="auto"/>
              </w:rPr>
            </w:pPr>
          </w:p>
        </w:tc>
        <w:tc>
          <w:tcPr>
            <w:tcW w:w="94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89"/>
              </w:rPr>
              <w:t>Costs (b)</w:t>
            </w:r>
          </w:p>
        </w:tc>
        <w:tc>
          <w:tcPr>
            <w:tcW w:w="6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costs (c)</w:t>
            </w:r>
          </w:p>
        </w:tc>
        <w:tc>
          <w:tcPr>
            <w:tcW w:w="25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Tax Assessment (d)</w:t>
            </w:r>
          </w:p>
        </w:tc>
        <w:tc>
          <w:tcPr>
            <w:tcW w:w="11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rPr>
              <w:t>GAAP)</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expenses</w:t>
            </w: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140,330</w:t>
            </w:r>
          </w:p>
        </w:tc>
        <w:tc>
          <w:tcPr>
            <w:tcW w:w="5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8"/>
              </w:rPr>
              <w:t>(3,487)</w:t>
            </w: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(943)</w:t>
            </w:r>
          </w:p>
        </w:tc>
        <w:tc>
          <w:tcPr>
            <w:tcW w:w="1660" w:type="dxa"/>
            <w:vAlign w:val="bottom"/>
            <w:tcBorders>
              <w:bottom w:val="single" w:sz="8" w:color="CCEEFF"/>
              <w:right w:val="single" w:sz="8" w:color="CCEEFF"/>
            </w:tcBorders>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 xml:space="preserve">(5,350) </w:t>
            </w:r>
            <w:r>
              <w:rPr>
                <w:rFonts w:ascii="Arial" w:cs="Arial" w:eastAsia="Arial" w:hAnsi="Arial"/>
                <w:sz w:val="16"/>
                <w:szCs w:val="16"/>
                <w:b w:val="1"/>
                <w:bCs w:val="1"/>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130,550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6"/>
                <w:szCs w:val="16"/>
                <w:i w:val="1"/>
                <w:iCs w:val="1"/>
                <w:color w:val="auto"/>
              </w:rPr>
              <w:t>(DOLLARS IN</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7"/>
              </w:rPr>
              <w:t>Reconciliation of Operating Profit</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ind w:left="20"/>
              <w:spacing w:after="0"/>
              <w:rPr>
                <w:sz w:val="20"/>
                <w:szCs w:val="20"/>
                <w:color w:val="auto"/>
              </w:rPr>
            </w:pPr>
            <w:r>
              <w:rPr>
                <w:rFonts w:ascii="Arial" w:cs="Arial" w:eastAsia="Arial" w:hAnsi="Arial"/>
                <w:sz w:val="16"/>
                <w:szCs w:val="16"/>
                <w:i w:val="1"/>
                <w:iCs w:val="1"/>
                <w:color w:val="auto"/>
                <w:w w:val="98"/>
              </w:rPr>
              <w:t>THOUSANDS)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Operational</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7"/>
              </w:rPr>
              <w:t>Restructuring</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Improvement</w:t>
            </w:r>
          </w:p>
        </w:tc>
        <w:tc>
          <w:tcPr>
            <w:tcW w:w="11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Acquisition</w:t>
            </w:r>
          </w:p>
        </w:tc>
        <w:tc>
          <w:tcPr>
            <w:tcW w:w="7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Gain on</w:t>
            </w:r>
          </w:p>
        </w:tc>
        <w:tc>
          <w:tcPr>
            <w:tcW w:w="114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w w:val="96"/>
              </w:rPr>
              <w:t>Integration</w:t>
            </w: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Tax</w:t>
            </w: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80" w:type="dxa"/>
            <w:vAlign w:val="bottom"/>
          </w:tcPr>
          <w:p>
            <w:pPr>
              <w:spacing w:after="0"/>
              <w:rPr>
                <w:sz w:val="17"/>
                <w:szCs w:val="17"/>
                <w:color w:val="auto"/>
              </w:rPr>
            </w:pPr>
          </w:p>
        </w:tc>
        <w:tc>
          <w:tcPr>
            <w:tcW w:w="2120" w:type="dxa"/>
            <w:vAlign w:val="bottom"/>
            <w:gridSpan w:val="5"/>
          </w:tcPr>
          <w:p>
            <w:pPr>
              <w:jc w:val="right"/>
              <w:spacing w:after="0"/>
              <w:rPr>
                <w:sz w:val="20"/>
                <w:szCs w:val="20"/>
                <w:color w:val="auto"/>
              </w:rPr>
            </w:pPr>
            <w:r>
              <w:rPr>
                <w:rFonts w:ascii="Arial" w:cs="Arial" w:eastAsia="Arial" w:hAnsi="Arial"/>
                <w:sz w:val="16"/>
                <w:szCs w:val="16"/>
                <w:b w:val="1"/>
                <w:bCs w:val="1"/>
                <w:color w:val="auto"/>
              </w:rPr>
              <w:t>and Other   Initiative Costs</w:t>
            </w:r>
          </w:p>
        </w:tc>
        <w:tc>
          <w:tcPr>
            <w:tcW w:w="11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3"/>
              </w:rPr>
              <w:t>Related</w:t>
            </w:r>
          </w:p>
        </w:tc>
        <w:tc>
          <w:tcPr>
            <w:tcW w:w="7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Sale of</w:t>
            </w:r>
          </w:p>
        </w:tc>
        <w:tc>
          <w:tcPr>
            <w:tcW w:w="204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w w:val="88"/>
              </w:rPr>
              <w:t>related costs  Assessment</w:t>
            </w:r>
          </w:p>
        </w:tc>
        <w:tc>
          <w:tcPr>
            <w:tcW w:w="12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w w:val="90"/>
              </w:rPr>
              <w:t>(Non-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(GAAP)</w:t>
            </w:r>
          </w:p>
        </w:tc>
        <w:tc>
          <w:tcPr>
            <w:tcW w:w="80" w:type="dxa"/>
            <w:vAlign w:val="bottom"/>
          </w:tcPr>
          <w:p>
            <w:pPr>
              <w:spacing w:after="0"/>
              <w:rPr>
                <w:sz w:val="18"/>
                <w:szCs w:val="18"/>
                <w:color w:val="auto"/>
              </w:rPr>
            </w:pPr>
          </w:p>
        </w:tc>
        <w:tc>
          <w:tcPr>
            <w:tcW w:w="11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95"/>
              </w:rPr>
              <w:t>Charges (e)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w:t>
            </w:r>
          </w:p>
        </w:tc>
        <w:tc>
          <w:tcPr>
            <w:tcW w:w="11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Costs (b)</w:t>
            </w:r>
          </w:p>
        </w:tc>
        <w:tc>
          <w:tcPr>
            <w:tcW w:w="74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Asset (f)</w:t>
            </w:r>
          </w:p>
        </w:tc>
        <w:tc>
          <w:tcPr>
            <w:tcW w:w="240" w:type="dxa"/>
            <w:vAlign w:val="bottom"/>
          </w:tcPr>
          <w:p>
            <w:pPr>
              <w:spacing w:after="0"/>
              <w:rPr>
                <w:sz w:val="18"/>
                <w:szCs w:val="18"/>
                <w:color w:val="auto"/>
              </w:rPr>
            </w:pPr>
          </w:p>
        </w:tc>
        <w:tc>
          <w:tcPr>
            <w:tcW w:w="900" w:type="dxa"/>
            <w:vAlign w:val="bottom"/>
          </w:tcPr>
          <w:p>
            <w:pPr>
              <w:jc w:val="right"/>
              <w:ind w:right="539"/>
              <w:spacing w:after="0"/>
              <w:rPr>
                <w:sz w:val="20"/>
                <w:szCs w:val="20"/>
                <w:color w:val="auto"/>
              </w:rPr>
            </w:pPr>
            <w:r>
              <w:rPr>
                <w:rFonts w:ascii="Arial" w:cs="Arial" w:eastAsia="Arial" w:hAnsi="Arial"/>
                <w:sz w:val="16"/>
                <w:szCs w:val="16"/>
                <w:b w:val="1"/>
                <w:bCs w:val="1"/>
                <w:color w:val="auto"/>
              </w:rPr>
              <w:t>(c)</w:t>
            </w:r>
          </w:p>
        </w:tc>
        <w:tc>
          <w:tcPr>
            <w:tcW w:w="900" w:type="dxa"/>
            <w:vAlign w:val="bottom"/>
          </w:tcPr>
          <w:p>
            <w:pPr>
              <w:jc w:val="right"/>
              <w:ind w:right="459"/>
              <w:spacing w:after="0"/>
              <w:rPr>
                <w:sz w:val="20"/>
                <w:szCs w:val="20"/>
                <w:color w:val="auto"/>
              </w:rPr>
            </w:pPr>
            <w:r>
              <w:rPr>
                <w:rFonts w:ascii="Arial" w:cs="Arial" w:eastAsia="Arial" w:hAnsi="Arial"/>
                <w:sz w:val="16"/>
                <w:szCs w:val="16"/>
                <w:b w:val="1"/>
                <w:bCs w:val="1"/>
                <w:color w:val="auto"/>
              </w:rPr>
              <w:t>(d)</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Operating profit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5"/>
              </w:rPr>
              <w:t>$  137,437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10,143</w:t>
            </w:r>
          </w:p>
        </w:tc>
        <w:tc>
          <w:tcPr>
            <w:tcW w:w="5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4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8,788</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1,192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xml:space="preserve">5,350 </w:t>
            </w: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163,510</w:t>
            </w:r>
          </w:p>
        </w:tc>
        <w:tc>
          <w:tcPr>
            <w:tcW w:w="180" w:type="dxa"/>
            <w:vAlign w:val="bottom"/>
            <w:tcBorders>
              <w:left w:val="single" w:sz="8" w:color="CCEEFF"/>
            </w:tcBorders>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6"/>
                <w:szCs w:val="16"/>
                <w:i w:val="1"/>
                <w:iCs w:val="1"/>
                <w:color w:val="auto"/>
              </w:rPr>
              <w:t>(DOLLARS IN</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gridSpan w:val="4"/>
            <w:vMerge w:val="restart"/>
          </w:tcPr>
          <w:p>
            <w:pPr>
              <w:jc w:val="right"/>
              <w:ind w:right="179"/>
              <w:spacing w:after="0"/>
              <w:rPr>
                <w:sz w:val="20"/>
                <w:szCs w:val="20"/>
                <w:color w:val="auto"/>
              </w:rPr>
            </w:pPr>
            <w:r>
              <w:rPr>
                <w:rFonts w:ascii="Arial" w:cs="Arial" w:eastAsia="Arial" w:hAnsi="Arial"/>
                <w:sz w:val="16"/>
                <w:szCs w:val="16"/>
                <w:b w:val="1"/>
                <w:bCs w:val="1"/>
                <w:color w:val="auto"/>
                <w:w w:val="94"/>
              </w:rPr>
              <w:t>Reconciliation of Net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ind w:left="20"/>
              <w:spacing w:after="0"/>
              <w:rPr>
                <w:sz w:val="20"/>
                <w:szCs w:val="20"/>
                <w:color w:val="auto"/>
              </w:rPr>
            </w:pPr>
            <w:r>
              <w:rPr>
                <w:rFonts w:ascii="Arial" w:cs="Arial" w:eastAsia="Arial" w:hAnsi="Arial"/>
                <w:sz w:val="16"/>
                <w:szCs w:val="16"/>
                <w:i w:val="1"/>
                <w:iCs w:val="1"/>
                <w:color w:val="auto"/>
                <w:w w:val="98"/>
              </w:rPr>
              <w:t>THOUSANDS)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6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Operational</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Restructuring</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Improvement</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3"/>
              </w:rPr>
              <w:t>Gain on</w:t>
            </w: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Integration</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Tax</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7"/>
              </w:rPr>
              <w:t>CTA</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Adjusted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Reported</w:t>
            </w:r>
          </w:p>
        </w:tc>
        <w:tc>
          <w:tcPr>
            <w:tcW w:w="1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and Other</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Initiative</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Related</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7"/>
              </w:rPr>
              <w:t>Sale of</w:t>
            </w:r>
          </w:p>
        </w:tc>
        <w:tc>
          <w:tcPr>
            <w:tcW w:w="74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related</w:t>
            </w:r>
          </w:p>
        </w:tc>
        <w:tc>
          <w:tcPr>
            <w:tcW w:w="24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84"/>
              </w:rPr>
              <w:t>Assessment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Realization</w:t>
            </w:r>
          </w:p>
        </w:tc>
        <w:tc>
          <w:tcPr>
            <w:tcW w:w="120" w:type="dxa"/>
            <w:vAlign w:val="bottom"/>
          </w:tcPr>
          <w:p>
            <w:pPr>
              <w:spacing w:after="0"/>
              <w:rPr>
                <w:sz w:val="17"/>
                <w:szCs w:val="17"/>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(GAAP)</w:t>
            </w:r>
          </w:p>
        </w:tc>
        <w:tc>
          <w:tcPr>
            <w:tcW w:w="1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Charges (e)</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Costs (a)</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Costs (b)</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7"/>
              </w:rPr>
              <w:t>Asset (f)</w:t>
            </w:r>
          </w:p>
        </w:tc>
        <w:tc>
          <w:tcPr>
            <w:tcW w:w="740" w:type="dxa"/>
            <w:vAlign w:val="bottom"/>
          </w:tcPr>
          <w:p>
            <w:pPr>
              <w:jc w:val="center"/>
              <w:ind w:left="119"/>
              <w:spacing w:after="0"/>
              <w:rPr>
                <w:sz w:val="20"/>
                <w:szCs w:val="20"/>
                <w:color w:val="auto"/>
              </w:rPr>
            </w:pPr>
            <w:r>
              <w:rPr>
                <w:rFonts w:ascii="Arial" w:cs="Arial" w:eastAsia="Arial" w:hAnsi="Arial"/>
                <w:sz w:val="16"/>
                <w:szCs w:val="16"/>
                <w:b w:val="1"/>
                <w:bCs w:val="1"/>
                <w:color w:val="auto"/>
                <w:w w:val="82"/>
              </w:rPr>
              <w:t>costs (c)</w:t>
            </w:r>
          </w:p>
        </w:tc>
        <w:tc>
          <w:tcPr>
            <w:tcW w:w="24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7"/>
              </w:rPr>
              <w:t>(g)</w:t>
            </w:r>
          </w:p>
        </w:tc>
        <w:tc>
          <w:tcPr>
            <w:tcW w:w="1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GAAP)</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$ 152,345</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138,487</w:t>
            </w:r>
          </w:p>
        </w:tc>
        <w:tc>
          <w:tcPr>
            <w:tcW w:w="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10,143</w:t>
            </w:r>
          </w:p>
        </w:tc>
        <w:tc>
          <w:tcPr>
            <w:tcW w:w="6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5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8,788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9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(12,214)</w:t>
            </w:r>
          </w:p>
        </w:tc>
        <w:tc>
          <w:tcPr>
            <w:tcW w:w="760" w:type="dxa"/>
            <w:vAlign w:val="bottom"/>
            <w:tcBorders>
              <w:bottom w:val="single" w:sz="8" w:color="CCEEFF"/>
              <w:right w:val="single" w:sz="8" w:color="CCEEFF"/>
            </w:tcBorders>
            <w:gridSpan w:val="2"/>
            <w:vMerge w:val="continue"/>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auto"/>
              </w:rPr>
              <w:t>Taxes on</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31,230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auto"/>
              </w:rPr>
              <w:t>income (h)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22,723</w:t>
            </w:r>
          </w:p>
        </w:tc>
        <w:tc>
          <w:tcPr>
            <w:tcW w:w="50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2,967</w:t>
            </w:r>
          </w:p>
        </w:tc>
        <w:tc>
          <w:tcPr>
            <w:tcW w:w="6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155</w:t>
            </w:r>
          </w:p>
        </w:tc>
        <w:tc>
          <w:tcPr>
            <w:tcW w:w="5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4"/>
              </w:rPr>
              <w:t>3,138</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980" w:type="dxa"/>
            <w:vAlign w:val="bottom"/>
            <w:gridSpan w:val="2"/>
          </w:tcPr>
          <w:p>
            <w:pPr>
              <w:jc w:val="right"/>
              <w:ind w:right="39"/>
              <w:spacing w:after="0"/>
              <w:rPr>
                <w:sz w:val="20"/>
                <w:szCs w:val="20"/>
                <w:color w:val="auto"/>
              </w:rPr>
            </w:pPr>
            <w:r>
              <w:rPr>
                <w:rFonts w:ascii="Arial" w:cs="Arial" w:eastAsia="Arial" w:hAnsi="Arial"/>
                <w:sz w:val="16"/>
                <w:szCs w:val="16"/>
                <w:color w:val="auto"/>
              </w:rPr>
              <w:t>362</w:t>
            </w:r>
          </w:p>
        </w:tc>
        <w:tc>
          <w:tcPr>
            <w:tcW w:w="900" w:type="dxa"/>
            <w:vAlign w:val="bottom"/>
          </w:tcPr>
          <w:p>
            <w:pPr>
              <w:jc w:val="right"/>
              <w:spacing w:after="0"/>
              <w:rPr>
                <w:sz w:val="20"/>
                <w:szCs w:val="20"/>
                <w:color w:val="auto"/>
              </w:rPr>
            </w:pPr>
            <w:r>
              <w:rPr>
                <w:rFonts w:ascii="Arial" w:cs="Arial" w:eastAsia="Arial" w:hAnsi="Arial"/>
                <w:sz w:val="16"/>
                <w:szCs w:val="16"/>
                <w:color w:val="auto"/>
              </w:rPr>
              <w:t>1,892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115,764</w:t>
            </w: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7,176</w:t>
            </w:r>
          </w:p>
        </w:tc>
        <w:tc>
          <w:tcPr>
            <w:tcW w:w="6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5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5,650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9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829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121,115</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180" w:type="dxa"/>
            <w:vAlign w:val="bottom"/>
            <w:gridSpan w:val="3"/>
          </w:tcPr>
          <w:p>
            <w:pPr>
              <w:jc w:val="right"/>
              <w:ind w:right="299"/>
              <w:spacing w:after="0"/>
              <w:rPr>
                <w:sz w:val="20"/>
                <w:szCs w:val="20"/>
                <w:color w:val="auto"/>
              </w:rPr>
            </w:pPr>
            <w:r>
              <w:rPr>
                <w:rFonts w:ascii="Arial" w:cs="Arial" w:eastAsia="Arial" w:hAnsi="Arial"/>
                <w:sz w:val="18"/>
                <w:szCs w:val="18"/>
                <w:b w:val="1"/>
                <w:bCs w:val="1"/>
                <w:color w:val="auto"/>
                <w:w w:val="88"/>
              </w:rPr>
              <w:t>____________________</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accelerated depreciation and idle labor costs in Hangzhou, China.</w:t>
      </w:r>
    </w:p>
    <w:p>
      <w:pPr>
        <w:spacing w:after="0" w:line="7" w:lineRule="exact"/>
        <w:rPr>
          <w:rFonts w:ascii="Arial" w:cs="Arial" w:eastAsia="Arial" w:hAnsi="Arial"/>
          <w:sz w:val="18"/>
          <w:szCs w:val="18"/>
          <w:i w:val="1"/>
          <w:iCs w:val="1"/>
          <w:color w:val="auto"/>
        </w:rPr>
      </w:pPr>
    </w:p>
    <w:p>
      <w:pPr>
        <w:ind w:right="100" w:firstLine="8"/>
        <w:spacing w:after="0" w:line="281" w:lineRule="auto"/>
        <w:tabs>
          <w:tab w:leader="none" w:pos="255"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amortization of inventory "step-up" related to the acquisitions of David Michael and Fragrance Resources, included in Cost of goods sold and transaction costs related to the acquisitions of David Michael, Fragrance Resources and PowderPure, included in Selling and administrative expenses.</w:t>
      </w:r>
    </w:p>
    <w:p>
      <w:pPr>
        <w:spacing w:after="0" w:line="1" w:lineRule="exact"/>
        <w:rPr>
          <w:rFonts w:ascii="Arial" w:cs="Arial" w:eastAsia="Arial" w:hAnsi="Arial"/>
          <w:sz w:val="16"/>
          <w:szCs w:val="16"/>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costs related to the integration of the David Michael and Fragrance Resources acquisitions.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reserve for payment of a tax assessment related to commercial rent for prior periods.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severance costs related to the 2017 Productivity Program.</w:t>
      </w:r>
    </w:p>
    <w:p>
      <w:pPr>
        <w:spacing w:after="0" w:line="9" w:lineRule="exact"/>
        <w:rPr>
          <w:rFonts w:ascii="Arial" w:cs="Arial" w:eastAsia="Arial" w:hAnsi="Arial"/>
          <w:sz w:val="18"/>
          <w:szCs w:val="18"/>
          <w:i w:val="1"/>
          <w:iCs w:val="1"/>
          <w:color w:val="auto"/>
        </w:rPr>
      </w:pPr>
    </w:p>
    <w:p>
      <w:pPr>
        <w:ind w:left="220" w:hanging="212"/>
        <w:spacing w:after="0"/>
        <w:tabs>
          <w:tab w:leader="none" w:pos="2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gains on sale of assets primarily in Latin America.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release of CTA related to the liquidation of a foreign entity.</w:t>
      </w:r>
    </w:p>
    <w:p>
      <w:pPr>
        <w:spacing w:after="0" w:line="9" w:lineRule="exact"/>
        <w:rPr>
          <w:rFonts w:ascii="Arial" w:cs="Arial" w:eastAsia="Arial" w:hAnsi="Arial"/>
          <w:sz w:val="18"/>
          <w:szCs w:val="18"/>
          <w:i w:val="1"/>
          <w:iCs w:val="1"/>
          <w:color w:val="auto"/>
        </w:rPr>
      </w:pPr>
    </w:p>
    <w:p>
      <w:pPr>
        <w:ind w:right="40" w:firstLine="8"/>
        <w:spacing w:after="0" w:line="271" w:lineRule="auto"/>
        <w:tabs>
          <w:tab w:leader="none" w:pos="25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the first quarter of 2017,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Three Months Ended March 31, 2016</w:t>
      </w:r>
    </w:p>
    <w:p>
      <w:pPr>
        <w:spacing w:after="0" w:line="176"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6"/>
          </w:tcPr>
          <w:p>
            <w:pPr>
              <w:jc w:val="right"/>
              <w:ind w:right="279"/>
              <w:spacing w:after="0"/>
              <w:rPr>
                <w:sz w:val="20"/>
                <w:szCs w:val="20"/>
                <w:color w:val="auto"/>
              </w:rPr>
            </w:pPr>
            <w:r>
              <w:rPr>
                <w:rFonts w:ascii="Arial" w:cs="Arial" w:eastAsia="Arial" w:hAnsi="Arial"/>
                <w:sz w:val="16"/>
                <w:szCs w:val="16"/>
                <w:b w:val="1"/>
                <w:bCs w:val="1"/>
                <w:color w:val="auto"/>
              </w:rPr>
              <w:t>Reconciliation of Gross Profit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1"/>
              </w:rPr>
              <w:t>Restructuring</w:t>
            </w: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Operational</w:t>
            </w:r>
          </w:p>
        </w:tc>
        <w:tc>
          <w:tcPr>
            <w:tcW w:w="180" w:type="dxa"/>
            <w:vAlign w:val="bottom"/>
          </w:tcPr>
          <w:p>
            <w:pPr>
              <w:spacing w:after="0"/>
              <w:rPr>
                <w:sz w:val="18"/>
                <w:szCs w:val="18"/>
                <w:color w:val="auto"/>
              </w:rPr>
            </w:pPr>
          </w:p>
        </w:tc>
        <w:tc>
          <w:tcPr>
            <w:tcW w:w="126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91"/>
              </w:rPr>
              <w:t>Acquisition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200" w:type="dxa"/>
            <w:vAlign w:val="bottom"/>
          </w:tcPr>
          <w:p>
            <w:pPr>
              <w:spacing w:after="0"/>
              <w:rPr>
                <w:sz w:val="17"/>
                <w:szCs w:val="17"/>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and Other</w:t>
            </w:r>
          </w:p>
        </w:tc>
        <w:tc>
          <w:tcPr>
            <w:tcW w:w="16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w w:val="93"/>
              </w:rPr>
              <w:t>Improvement</w:t>
            </w:r>
          </w:p>
        </w:tc>
        <w:tc>
          <w:tcPr>
            <w:tcW w:w="180" w:type="dxa"/>
            <w:vAlign w:val="bottom"/>
          </w:tcPr>
          <w:p>
            <w:pPr>
              <w:spacing w:after="0"/>
              <w:rPr>
                <w:sz w:val="17"/>
                <w:szCs w:val="17"/>
                <w:color w:val="auto"/>
              </w:rPr>
            </w:pPr>
          </w:p>
        </w:tc>
        <w:tc>
          <w:tcPr>
            <w:tcW w:w="126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92"/>
              </w:rPr>
              <w:t>and Related</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Adjusted (Non-</w:t>
            </w: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(GAAP)</w:t>
            </w:r>
          </w:p>
        </w:tc>
        <w:tc>
          <w:tcPr>
            <w:tcW w:w="200" w:type="dxa"/>
            <w:vAlign w:val="bottom"/>
          </w:tcPr>
          <w:p>
            <w:pPr>
              <w:spacing w:after="0"/>
              <w:rPr>
                <w:sz w:val="18"/>
                <w:szCs w:val="18"/>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Charges (a)</w:t>
            </w:r>
          </w:p>
        </w:tc>
        <w:tc>
          <w:tcPr>
            <w:tcW w:w="16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Initiative Costs (b)</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87"/>
              </w:rPr>
              <w:t>Costs (c)</w:t>
            </w:r>
          </w:p>
        </w:tc>
        <w:tc>
          <w:tcPr>
            <w:tcW w:w="120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GAAP)</w:t>
            </w:r>
          </w:p>
        </w:tc>
      </w:tr>
      <w:tr>
        <w:trPr>
          <w:trHeight w:val="3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center"/>
              <w:ind w:left="239"/>
              <w:spacing w:after="0"/>
              <w:rPr>
                <w:sz w:val="20"/>
                <w:szCs w:val="20"/>
                <w:color w:val="auto"/>
              </w:rPr>
            </w:pPr>
            <w:r>
              <w:rPr>
                <w:rFonts w:ascii="Arial" w:cs="Arial" w:eastAsia="Arial" w:hAnsi="Arial"/>
                <w:sz w:val="16"/>
                <w:szCs w:val="16"/>
                <w:color w:val="auto"/>
              </w:rPr>
              <w:t>$   360,209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679"/>
              <w:spacing w:after="0"/>
              <w:rPr>
                <w:sz w:val="20"/>
                <w:szCs w:val="20"/>
                <w:color w:val="auto"/>
              </w:rPr>
            </w:pPr>
            <w:r>
              <w:rPr>
                <w:rFonts w:ascii="Arial" w:cs="Arial" w:eastAsia="Arial" w:hAnsi="Arial"/>
                <w:sz w:val="16"/>
                <w:szCs w:val="16"/>
                <w:color w:val="auto"/>
                <w:w w:val="89"/>
              </w:rPr>
              <w:t>268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361,467</w:t>
            </w:r>
          </w:p>
        </w:tc>
      </w:tr>
      <w:tr>
        <w:trPr>
          <w:trHeight w:val="575"/>
        </w:trPr>
        <w:tc>
          <w:tcPr>
            <w:tcW w:w="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60" w:type="dxa"/>
            <w:vAlign w:val="bottom"/>
            <w:gridSpan w:val="10"/>
          </w:tcPr>
          <w:p>
            <w:pPr>
              <w:jc w:val="right"/>
              <w:ind w:right="519"/>
              <w:spacing w:after="0"/>
              <w:rPr>
                <w:sz w:val="20"/>
                <w:szCs w:val="20"/>
                <w:color w:val="auto"/>
              </w:rPr>
            </w:pPr>
            <w:r>
              <w:rPr>
                <w:rFonts w:ascii="Arial" w:cs="Arial" w:eastAsia="Arial" w:hAnsi="Arial"/>
                <w:sz w:val="16"/>
                <w:szCs w:val="16"/>
                <w:b w:val="1"/>
                <w:bCs w:val="1"/>
                <w:color w:val="auto"/>
              </w:rPr>
              <w:t>Reconciliation of Selling and Administrative Expenses</w:t>
            </w:r>
          </w:p>
        </w:tc>
      </w:tr>
      <w:tr>
        <w:trPr>
          <w:trHeight w:val="3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Reported</w:t>
            </w:r>
          </w:p>
        </w:tc>
        <w:tc>
          <w:tcPr>
            <w:tcW w:w="13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1"/>
              </w:rPr>
              <w:t>Acquisition and</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Legal</w:t>
            </w:r>
          </w:p>
        </w:tc>
        <w:tc>
          <w:tcPr>
            <w:tcW w:w="420" w:type="dxa"/>
            <w:vAlign w:val="bottom"/>
          </w:tcPr>
          <w:p>
            <w:pPr>
              <w:spacing w:after="0"/>
              <w:rPr>
                <w:sz w:val="18"/>
                <w:szCs w:val="18"/>
                <w:color w:val="auto"/>
              </w:rPr>
            </w:pPr>
          </w:p>
        </w:tc>
        <w:tc>
          <w:tcPr>
            <w:tcW w:w="12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Adjusted</w:t>
            </w: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rPr>
              <w:t>(GAAP)</w:t>
            </w:r>
          </w:p>
        </w:tc>
        <w:tc>
          <w:tcPr>
            <w:tcW w:w="13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Related Costs (c)</w:t>
            </w: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Charges/Credits (d)</w:t>
            </w:r>
          </w:p>
        </w:tc>
        <w:tc>
          <w:tcPr>
            <w:tcW w:w="12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(Non-GAAP)</w:t>
            </w:r>
          </w:p>
        </w:tc>
      </w:tr>
      <w:tr>
        <w:trPr>
          <w:trHeight w:val="33"/>
        </w:trPr>
        <w:tc>
          <w:tcPr>
            <w:tcW w:w="2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  123,543</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124,841</w:t>
            </w:r>
          </w:p>
        </w:tc>
      </w:tr>
      <w:tr>
        <w:trPr>
          <w:trHeight w:val="575"/>
        </w:trPr>
        <w:tc>
          <w:tcPr>
            <w:tcW w:w="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6"/>
          </w:tcPr>
          <w:p>
            <w:pPr>
              <w:jc w:val="right"/>
              <w:ind w:right="639"/>
              <w:spacing w:after="0"/>
              <w:rPr>
                <w:sz w:val="20"/>
                <w:szCs w:val="20"/>
                <w:color w:val="auto"/>
              </w:rPr>
            </w:pPr>
            <w:r>
              <w:rPr>
                <w:rFonts w:ascii="Arial" w:cs="Arial" w:eastAsia="Arial" w:hAnsi="Arial"/>
                <w:sz w:val="16"/>
                <w:szCs w:val="16"/>
                <w:b w:val="1"/>
                <w:bCs w:val="1"/>
                <w:color w:val="auto"/>
              </w:rPr>
              <w:t>Reconciliation of Operating Profit</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Restructuring</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2"/>
              </w:rPr>
              <w:t>Operational</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Acquisition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299"/>
              <w:spacing w:after="0"/>
              <w:rPr>
                <w:sz w:val="20"/>
                <w:szCs w:val="20"/>
                <w:color w:val="auto"/>
              </w:rPr>
            </w:pPr>
            <w:r>
              <w:rPr>
                <w:rFonts w:ascii="Arial" w:cs="Arial" w:eastAsia="Arial" w:hAnsi="Arial"/>
                <w:sz w:val="16"/>
                <w:szCs w:val="16"/>
                <w:b w:val="1"/>
                <w:bCs w:val="1"/>
                <w:color w:val="auto"/>
                <w:w w:val="90"/>
              </w:rPr>
              <w:t>Legal</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Gain on</w:t>
            </w: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Adjusted</w:t>
            </w: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and Other</w:t>
            </w:r>
          </w:p>
        </w:tc>
        <w:tc>
          <w:tcPr>
            <w:tcW w:w="118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3"/>
              </w:rPr>
              <w:t>Improvement</w:t>
            </w:r>
          </w:p>
        </w:tc>
        <w:tc>
          <w:tcPr>
            <w:tcW w:w="160" w:type="dxa"/>
            <w:vAlign w:val="bottom"/>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6"/>
                <w:szCs w:val="16"/>
                <w:b w:val="1"/>
                <w:bCs w:val="1"/>
                <w:color w:val="auto"/>
              </w:rPr>
              <w:t>Related</w:t>
            </w: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Charges/Credits</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Sale of</w:t>
            </w:r>
          </w:p>
        </w:tc>
        <w:tc>
          <w:tcPr>
            <w:tcW w:w="120" w:type="dxa"/>
            <w:vAlign w:val="bottom"/>
          </w:tcPr>
          <w:p>
            <w:pPr>
              <w:spacing w:after="0"/>
              <w:rPr>
                <w:sz w:val="17"/>
                <w:szCs w:val="17"/>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(Non-</w:t>
            </w: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(GAAP)</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Charges (a)</w:t>
            </w: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Initiative Costs (b)</w:t>
            </w:r>
          </w:p>
        </w:tc>
        <w:tc>
          <w:tcPr>
            <w:tcW w:w="940" w:type="dxa"/>
            <w:vAlign w:val="bottom"/>
          </w:tcPr>
          <w:p>
            <w:pPr>
              <w:ind w:left="200"/>
              <w:spacing w:after="0"/>
              <w:rPr>
                <w:sz w:val="20"/>
                <w:szCs w:val="20"/>
                <w:color w:val="auto"/>
              </w:rPr>
            </w:pPr>
            <w:r>
              <w:rPr>
                <w:rFonts w:ascii="Arial" w:cs="Arial" w:eastAsia="Arial" w:hAnsi="Arial"/>
                <w:sz w:val="16"/>
                <w:szCs w:val="16"/>
                <w:b w:val="1"/>
                <w:bCs w:val="1"/>
                <w:color w:val="auto"/>
              </w:rPr>
              <w:t>Costs (c)</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319"/>
              <w:spacing w:after="0"/>
              <w:rPr>
                <w:sz w:val="20"/>
                <w:szCs w:val="20"/>
                <w:color w:val="auto"/>
              </w:rPr>
            </w:pPr>
            <w:r>
              <w:rPr>
                <w:rFonts w:ascii="Arial" w:cs="Arial" w:eastAsia="Arial" w:hAnsi="Arial"/>
                <w:sz w:val="16"/>
                <w:szCs w:val="16"/>
                <w:b w:val="1"/>
                <w:bCs w:val="1"/>
                <w:color w:val="auto"/>
                <w:w w:val="97"/>
              </w:rPr>
              <w:t>(d)</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Asset (e)</w:t>
            </w:r>
          </w:p>
        </w:tc>
        <w:tc>
          <w:tcPr>
            <w:tcW w:w="120" w:type="dxa"/>
            <w:vAlign w:val="bottom"/>
          </w:tcPr>
          <w:p>
            <w:pPr>
              <w:spacing w:after="0"/>
              <w:rPr>
                <w:sz w:val="18"/>
                <w:szCs w:val="18"/>
                <w:color w:val="auto"/>
              </w:rPr>
            </w:pPr>
          </w:p>
        </w:tc>
        <w:tc>
          <w:tcPr>
            <w:tcW w:w="70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GAAP)</w:t>
            </w:r>
          </w:p>
        </w:tc>
      </w:tr>
      <w:tr>
        <w:trPr>
          <w:trHeight w:val="3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$ 169,933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(1,446)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167,180</w:t>
            </w:r>
          </w:p>
        </w:tc>
      </w:tr>
      <w:tr>
        <w:trPr>
          <w:trHeight w:val="575"/>
        </w:trPr>
        <w:tc>
          <w:tcPr>
            <w:tcW w:w="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ind w:left="380"/>
              <w:spacing w:after="0"/>
              <w:rPr>
                <w:sz w:val="20"/>
                <w:szCs w:val="20"/>
                <w:color w:val="auto"/>
              </w:rPr>
            </w:pPr>
            <w:r>
              <w:rPr>
                <w:rFonts w:ascii="Arial" w:cs="Arial" w:eastAsia="Arial" w:hAnsi="Arial"/>
                <w:sz w:val="16"/>
                <w:szCs w:val="16"/>
                <w:b w:val="1"/>
                <w:bCs w:val="1"/>
                <w:color w:val="auto"/>
                <w:w w:val="95"/>
              </w:rPr>
              <w:t>Reconciliation of Net Income</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93"/>
              </w:rPr>
              <w:t>Restructuring</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Operational</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240" w:type="dxa"/>
            <w:vAlign w:val="bottom"/>
          </w:tcPr>
          <w:p>
            <w:pPr>
              <w:spacing w:after="0"/>
              <w:rPr>
                <w:sz w:val="18"/>
                <w:szCs w:val="18"/>
                <w:color w:val="auto"/>
              </w:rPr>
            </w:pPr>
          </w:p>
        </w:tc>
        <w:tc>
          <w:tcPr>
            <w:tcW w:w="102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90"/>
              </w:rPr>
              <w:t>Legal</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Gain on</w:t>
            </w: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Adjusted</w:t>
            </w: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9"/>
              </w:rPr>
              <w:t>Reported</w:t>
            </w:r>
          </w:p>
        </w:tc>
        <w:tc>
          <w:tcPr>
            <w:tcW w:w="11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and Other</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Improvement</w:t>
            </w: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Related</w:t>
            </w:r>
          </w:p>
        </w:tc>
        <w:tc>
          <w:tcPr>
            <w:tcW w:w="126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92"/>
              </w:rPr>
              <w:t>Charges/Credits</w:t>
            </w:r>
          </w:p>
        </w:tc>
        <w:tc>
          <w:tcPr>
            <w:tcW w:w="8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7"/>
              </w:rPr>
              <w:t>Sale of</w:t>
            </w:r>
          </w:p>
        </w:tc>
        <w:tc>
          <w:tcPr>
            <w:tcW w:w="120" w:type="dxa"/>
            <w:vAlign w:val="bottom"/>
          </w:tcPr>
          <w:p>
            <w:pPr>
              <w:spacing w:after="0"/>
              <w:rPr>
                <w:sz w:val="17"/>
                <w:szCs w:val="17"/>
                <w:color w:val="auto"/>
              </w:rPr>
            </w:pPr>
          </w:p>
        </w:tc>
        <w:tc>
          <w:tcPr>
            <w:tcW w:w="70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(Non-</w:t>
            </w: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(GAAP)</w:t>
            </w:r>
          </w:p>
        </w:tc>
        <w:tc>
          <w:tcPr>
            <w:tcW w:w="25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9"/>
              </w:rPr>
              <w:t>Charges (a)   Initiative Costs (b)</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4"/>
              </w:rPr>
              <w:t>Costs (c)</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459"/>
              <w:spacing w:after="0"/>
              <w:rPr>
                <w:sz w:val="20"/>
                <w:szCs w:val="20"/>
                <w:color w:val="auto"/>
              </w:rPr>
            </w:pPr>
            <w:r>
              <w:rPr>
                <w:rFonts w:ascii="Arial" w:cs="Arial" w:eastAsia="Arial" w:hAnsi="Arial"/>
                <w:sz w:val="16"/>
                <w:szCs w:val="16"/>
                <w:b w:val="1"/>
                <w:bCs w:val="1"/>
                <w:color w:val="auto"/>
                <w:w w:val="87"/>
              </w:rPr>
              <w:t>(d)</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Asset (e)</w:t>
            </w:r>
          </w:p>
        </w:tc>
        <w:tc>
          <w:tcPr>
            <w:tcW w:w="120" w:type="dxa"/>
            <w:vAlign w:val="bottom"/>
          </w:tcPr>
          <w:p>
            <w:pPr>
              <w:spacing w:after="0"/>
              <w:rPr>
                <w:sz w:val="18"/>
                <w:szCs w:val="18"/>
                <w:color w:val="auto"/>
              </w:rPr>
            </w:pPr>
          </w:p>
        </w:tc>
        <w:tc>
          <w:tcPr>
            <w:tcW w:w="700" w:type="dxa"/>
            <w:vAlign w:val="bottom"/>
          </w:tcPr>
          <w:p>
            <w:pPr>
              <w:jc w:val="center"/>
              <w:ind w:right="19"/>
              <w:spacing w:after="0"/>
              <w:rPr>
                <w:sz w:val="20"/>
                <w:szCs w:val="20"/>
                <w:color w:val="auto"/>
              </w:rPr>
            </w:pPr>
            <w:r>
              <w:rPr>
                <w:rFonts w:ascii="Arial" w:cs="Arial" w:eastAsia="Arial" w:hAnsi="Arial"/>
                <w:sz w:val="16"/>
                <w:szCs w:val="16"/>
                <w:b w:val="1"/>
                <w:bCs w:val="1"/>
                <w:color w:val="auto"/>
              </w:rPr>
              <w:t>GAAP)</w:t>
            </w:r>
          </w:p>
        </w:tc>
      </w:tr>
      <w:tr>
        <w:trPr>
          <w:trHeight w:val="3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154,896</w:t>
            </w:r>
          </w:p>
        </w:tc>
        <w:tc>
          <w:tcPr>
            <w:tcW w:w="11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13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98"/>
              </w:rPr>
              <w:t>(1,446)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152,143</w:t>
            </w:r>
          </w:p>
        </w:tc>
      </w:tr>
      <w:tr>
        <w:trPr>
          <w:trHeight w:val="224"/>
        </w:trPr>
        <w:tc>
          <w:tcPr>
            <w:tcW w:w="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Taxes on income (f)</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36,293</w:t>
            </w:r>
          </w:p>
        </w:tc>
        <w:tc>
          <w:tcPr>
            <w:tcW w:w="1160" w:type="dxa"/>
            <w:vAlign w:val="bottom"/>
            <w:gridSpan w:val="2"/>
          </w:tcPr>
          <w:p>
            <w:pPr>
              <w:jc w:val="right"/>
              <w:ind w:right="59"/>
              <w:spacing w:after="0"/>
              <w:rPr>
                <w:sz w:val="20"/>
                <w:szCs w:val="20"/>
                <w:color w:val="auto"/>
              </w:rPr>
            </w:pPr>
            <w:r>
              <w:rPr>
                <w:rFonts w:ascii="Arial" w:cs="Arial" w:eastAsia="Arial" w:hAnsi="Arial"/>
                <w:sz w:val="16"/>
                <w:szCs w:val="16"/>
                <w:color w:val="auto"/>
              </w:rPr>
              <w:t>19</w:t>
            </w:r>
          </w:p>
        </w:tc>
        <w:tc>
          <w:tcPr>
            <w:tcW w:w="1340" w:type="dxa"/>
            <w:vAlign w:val="bottom"/>
            <w:gridSpan w:val="3"/>
          </w:tcPr>
          <w:p>
            <w:pPr>
              <w:jc w:val="right"/>
              <w:ind w:right="39"/>
              <w:spacing w:after="0"/>
              <w:rPr>
                <w:sz w:val="20"/>
                <w:szCs w:val="20"/>
                <w:color w:val="auto"/>
              </w:rPr>
            </w:pPr>
            <w:r>
              <w:rPr>
                <w:rFonts w:ascii="Arial" w:cs="Arial" w:eastAsia="Arial" w:hAnsi="Arial"/>
                <w:sz w:val="16"/>
                <w:szCs w:val="16"/>
                <w:color w:val="auto"/>
              </w:rPr>
              <w:t>67</w:t>
            </w:r>
          </w:p>
        </w:tc>
        <w:tc>
          <w:tcPr>
            <w:tcW w:w="940" w:type="dxa"/>
            <w:vAlign w:val="bottom"/>
          </w:tcPr>
          <w:p>
            <w:pPr>
              <w:jc w:val="right"/>
              <w:spacing w:after="0"/>
              <w:rPr>
                <w:sz w:val="20"/>
                <w:szCs w:val="20"/>
                <w:color w:val="auto"/>
              </w:rPr>
            </w:pPr>
            <w:r>
              <w:rPr>
                <w:rFonts w:ascii="Arial" w:cs="Arial" w:eastAsia="Arial" w:hAnsi="Arial"/>
                <w:sz w:val="16"/>
                <w:szCs w:val="16"/>
                <w:color w:val="auto"/>
              </w:rPr>
              <w:t>367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(402)</w:t>
            </w:r>
          </w:p>
        </w:tc>
        <w:tc>
          <w:tcPr>
            <w:tcW w:w="4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0"/>
              </w:rPr>
              <w:t>(572)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35,772</w:t>
            </w:r>
          </w:p>
        </w:tc>
      </w:tr>
      <w:tr>
        <w:trPr>
          <w:trHeight w:val="33"/>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118,603</w:t>
            </w: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82</w:t>
            </w:r>
          </w:p>
        </w:tc>
        <w:tc>
          <w:tcPr>
            <w:tcW w:w="13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8"/>
              </w:rPr>
              <w:t>(1,044)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116,371</w:t>
            </w:r>
          </w:p>
        </w:tc>
      </w:tr>
      <w:tr>
        <w:trPr>
          <w:trHeight w:val="33"/>
        </w:trPr>
        <w:tc>
          <w:tcPr>
            <w:tcW w:w="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related to restructuring activities.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in Hangzhou, China.</w:t>
      </w:r>
    </w:p>
    <w:p>
      <w:pPr>
        <w:spacing w:after="0" w:line="9" w:lineRule="exact"/>
        <w:rPr>
          <w:rFonts w:ascii="Arial" w:cs="Arial" w:eastAsia="Arial" w:hAnsi="Arial"/>
          <w:sz w:val="18"/>
          <w:szCs w:val="18"/>
          <w:i w:val="1"/>
          <w:iCs w:val="1"/>
          <w:color w:val="auto"/>
        </w:rPr>
      </w:pPr>
    </w:p>
    <w:p>
      <w:pPr>
        <w:ind w:right="320" w:firstLine="8"/>
        <w:spacing w:after="0" w:line="250" w:lineRule="auto"/>
        <w:tabs>
          <w:tab w:leader="none" w:pos="24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Expense related to the amortization of inventory step-up, included in Cost of goods sold, and additional transaction costs related to the acquisition of Lucas Meyer, included in Selling and administrative expenses.</w:t>
      </w: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Amounts received related to the Spanish capital tax settlement.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Principally related to gain on sale of property in Europe.</w:t>
      </w:r>
    </w:p>
    <w:p>
      <w:pPr>
        <w:spacing w:after="0" w:line="9" w:lineRule="exact"/>
        <w:rPr>
          <w:rFonts w:ascii="Arial" w:cs="Arial" w:eastAsia="Arial" w:hAnsi="Arial"/>
          <w:sz w:val="18"/>
          <w:szCs w:val="18"/>
          <w:i w:val="1"/>
          <w:iCs w:val="1"/>
          <w:color w:val="auto"/>
        </w:rPr>
      </w:pPr>
    </w:p>
    <w:p>
      <w:pPr>
        <w:ind w:firstLine="8"/>
        <w:spacing w:after="0" w:line="253" w:lineRule="auto"/>
        <w:tabs>
          <w:tab w:leader="none" w:pos="21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For the first quarter of 2016,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Foreign Currency Reconciliation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6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2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(19)%</w:t>
            </w:r>
          </w:p>
        </w:tc>
        <w:tc>
          <w:tcPr>
            <w:tcW w:w="1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5%</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3%</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 Change Year-over-Year - Currency Neutral Adjusted (Non-GAAP)**</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7%</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ind w:left="60" w:right="240" w:firstLine="2"/>
        <w:spacing w:after="0" w:line="261"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$26.1 million of restructuring, acquisition-related, tax assessment, integration-related and operational improvement initiative costs as well as gains on sales of fixed assets and a benefit of $2.8 million related to gains on sales of</w:t>
      </w:r>
    </w:p>
    <w:p>
      <w:pPr>
        <w:sectPr>
          <w:pgSz w:w="11900" w:h="16838" w:orient="portrait"/>
          <w:cols w:equalWidth="0" w:num="1">
            <w:col w:w="11340"/>
          </w:cols>
          <w:pgMar w:left="240" w:top="580" w:right="319" w:bottom="1440" w:gutter="0" w:footer="0" w:header="0"/>
        </w:sect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40"/>
          </w:cols>
          <w:pgMar w:left="240" w:top="580" w:right="319" w:bottom="1440" w:gutter="0" w:footer="0" w:header="0"/>
          <w:type w:val="continuous"/>
        </w:sectPr>
      </w:pPr>
    </w:p>
    <w:bookmarkStart w:id="32" w:name="page33"/>
    <w:bookmarkEnd w:id="32"/>
    <w:p>
      <w:pPr>
        <w:ind w:left="60" w:right="340"/>
        <w:spacing w:after="0" w:line="258" w:lineRule="auto"/>
        <w:rPr>
          <w:sz w:val="20"/>
          <w:szCs w:val="20"/>
          <w:color w:val="auto"/>
        </w:rPr>
      </w:pPr>
      <w:r>
        <w:rPr>
          <w:rFonts w:ascii="Arial" w:cs="Arial" w:eastAsia="Arial" w:hAnsi="Arial"/>
          <w:sz w:val="18"/>
          <w:szCs w:val="18"/>
          <w:color w:val="auto"/>
        </w:rPr>
        <w:t>fixed assets and a favorable legal settlement, which were only partially offset by acquisition-related, restructuring and operational improvement initiative costs for the three months ended March 31, 2017 and March 31, 2016, respectively.</w:t>
      </w:r>
    </w:p>
    <w:p>
      <w:pPr>
        <w:spacing w:after="0" w:line="1" w:lineRule="exact"/>
        <w:rPr>
          <w:sz w:val="20"/>
          <w:szCs w:val="20"/>
          <w:color w:val="auto"/>
        </w:rPr>
      </w:pPr>
    </w:p>
    <w:p>
      <w:pPr>
        <w:ind w:left="60" w:right="220" w:firstLine="2"/>
        <w:spacing w:after="0" w:line="261" w:lineRule="auto"/>
        <w:tabs>
          <w:tab w:leader="none" w:pos="2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Currency neutral amount is calculated by translating prior year amounts at the exchange rates used for the corresponding 2017 period. Currency neutral operating profit also eliminates the year-over-year impact of cash flow hedging.</w:t>
      </w:r>
    </w:p>
    <w:p>
      <w:pPr>
        <w:spacing w:after="0" w:line="179"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98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37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5620" w:type="dxa"/>
            <w:vAlign w:val="bottom"/>
            <w:gridSpan w:val="2"/>
          </w:tcPr>
          <w:p>
            <w:pPr>
              <w:jc w:val="center"/>
              <w:ind w:left="359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 Expense:</w:t>
            </w:r>
          </w:p>
        </w:tc>
        <w:tc>
          <w:tcPr>
            <w:tcW w:w="368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Fragrance Resources</w:t>
            </w:r>
          </w:p>
        </w:tc>
        <w:tc>
          <w:tcPr>
            <w:tcW w:w="5620" w:type="dxa"/>
            <w:vAlign w:val="bottom"/>
            <w:gridSpan w:val="2"/>
          </w:tcPr>
          <w:p>
            <w:pPr>
              <w:jc w:val="center"/>
              <w:ind w:left="3593"/>
              <w:spacing w:after="0"/>
              <w:rPr>
                <w:sz w:val="20"/>
                <w:szCs w:val="20"/>
                <w:color w:val="auto"/>
              </w:rPr>
            </w:pPr>
            <w:r>
              <w:rPr>
                <w:rFonts w:ascii="Arial" w:cs="Arial" w:eastAsia="Arial" w:hAnsi="Arial"/>
                <w:sz w:val="18"/>
                <w:szCs w:val="18"/>
                <w:color w:val="auto"/>
                <w:w w:val="85"/>
              </w:rPr>
              <w:t>$1.3</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27"/>
        </w:trPr>
        <w:tc>
          <w:tcPr>
            <w:tcW w:w="37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David Michael</w:t>
            </w:r>
          </w:p>
        </w:tc>
        <w:tc>
          <w:tcPr>
            <w:tcW w:w="5620" w:type="dxa"/>
            <w:vAlign w:val="bottom"/>
            <w:tcBorders>
              <w:bottom w:val="single" w:sz="8" w:color="CCEEFF"/>
            </w:tcBorders>
            <w:gridSpan w:val="2"/>
            <w:shd w:val="clear" w:color="auto" w:fill="CCEEFF"/>
          </w:tcPr>
          <w:p>
            <w:pPr>
              <w:jc w:val="center"/>
              <w:ind w:left="3593"/>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Lucas Meyer</w:t>
            </w:r>
          </w:p>
        </w:tc>
        <w:tc>
          <w:tcPr>
            <w:tcW w:w="5620" w:type="dxa"/>
            <w:vAlign w:val="bottom"/>
            <w:gridSpan w:val="2"/>
          </w:tcPr>
          <w:p>
            <w:pPr>
              <w:jc w:val="center"/>
              <w:ind w:left="3593"/>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2.6</w:t>
            </w:r>
          </w:p>
        </w:tc>
      </w:tr>
      <w:tr>
        <w:trPr>
          <w:trHeight w:val="27"/>
        </w:trPr>
        <w:tc>
          <w:tcPr>
            <w:tcW w:w="37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Ottens Flavors</w:t>
            </w:r>
          </w:p>
        </w:tc>
        <w:tc>
          <w:tcPr>
            <w:tcW w:w="5620" w:type="dxa"/>
            <w:vAlign w:val="bottom"/>
            <w:tcBorders>
              <w:bottom w:val="single" w:sz="8" w:color="CCEEFF"/>
            </w:tcBorders>
            <w:gridSpan w:val="2"/>
            <w:shd w:val="clear" w:color="auto" w:fill="CCEEFF"/>
          </w:tcPr>
          <w:p>
            <w:pPr>
              <w:jc w:val="center"/>
              <w:ind w:left="3593"/>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r>
      <w:tr>
        <w:trPr>
          <w:trHeight w:val="675"/>
        </w:trPr>
        <w:tc>
          <w:tcPr>
            <w:tcW w:w="3760" w:type="dxa"/>
            <w:vAlign w:val="bottom"/>
          </w:tcPr>
          <w:p>
            <w:pPr>
              <w:spacing w:after="0"/>
              <w:rPr>
                <w:sz w:val="24"/>
                <w:szCs w:val="24"/>
                <w:color w:val="auto"/>
              </w:rPr>
            </w:pPr>
          </w:p>
        </w:tc>
        <w:tc>
          <w:tcPr>
            <w:tcW w:w="3680" w:type="dxa"/>
            <w:vAlign w:val="bottom"/>
          </w:tcPr>
          <w:p>
            <w:pPr>
              <w:jc w:val="right"/>
              <w:ind w:right="1553"/>
              <w:spacing w:after="0"/>
              <w:rPr>
                <w:sz w:val="20"/>
                <w:szCs w:val="20"/>
                <w:color w:val="auto"/>
              </w:rPr>
            </w:pPr>
            <w:r>
              <w:rPr>
                <w:rFonts w:ascii="Arial" w:cs="Arial" w:eastAsia="Arial" w:hAnsi="Arial"/>
                <w:sz w:val="18"/>
                <w:szCs w:val="18"/>
                <w:color w:val="auto"/>
              </w:rPr>
              <w:t>32</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our 2016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March 31, 2017 that have materially affected, or are reasonably likely to materially affect, our internal control over financial reporting.</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third quarter of 2016, the Court stayed the case and directed the parties to mediate. During the fourth quarter of 2016, the parties engaged in mediation and various settlement discussions which have not resulted in a resolution of the</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823" w:right="279" w:bottom="1440" w:gutter="0" w:footer="0" w:header="0"/>
        </w:sectPr>
      </w:pPr>
    </w:p>
    <w:bookmarkStart w:id="34" w:name="page35"/>
    <w:bookmarkEnd w:id="34"/>
    <w:p>
      <w:pPr>
        <w:spacing w:after="0" w:line="249" w:lineRule="auto"/>
        <w:framePr w:w="2720" w:h="431" w:wrap="auto" w:vAnchor="page" w:hAnchor="page" w:x="1280" w:y="7894"/>
        <w:rPr>
          <w:rFonts w:ascii="Arial" w:cs="Arial" w:eastAsia="Arial" w:hAnsi="Arial"/>
          <w:sz w:val="18"/>
          <w:szCs w:val="18"/>
          <w:color w:val="auto"/>
        </w:rPr>
      </w:pPr>
      <w:r>
        <w:rPr>
          <w:rFonts w:ascii="Arial" w:cs="Arial" w:eastAsia="Arial" w:hAnsi="Arial"/>
          <w:sz w:val="18"/>
          <w:szCs w:val="18"/>
          <w:color w:val="auto"/>
        </w:rPr>
        <w:t>Statement re: Computation of Ratios XBRL Instance Document</w:t>
      </w:r>
    </w:p>
    <w:p>
      <w:pPr>
        <w:spacing w:after="0" w:line="209" w:lineRule="auto"/>
        <w:framePr w:w="2820" w:h="160" w:wrap="auto" w:vAnchor="page" w:hAnchor="page" w:x="1280" w:y="8434"/>
        <w:rPr>
          <w:rFonts w:ascii="Arial" w:cs="Arial" w:eastAsia="Arial" w:hAnsi="Arial"/>
          <w:sz w:val="16"/>
          <w:szCs w:val="16"/>
          <w:color w:val="auto"/>
        </w:rPr>
      </w:pPr>
      <w:r>
        <w:rPr>
          <w:rFonts w:ascii="Arial" w:cs="Arial" w:eastAsia="Arial" w:hAnsi="Arial"/>
          <w:sz w:val="16"/>
          <w:szCs w:val="16"/>
          <w:color w:val="auto"/>
        </w:rPr>
        <w:t>XBRL Taxonomy Extensions Schema</w:t>
      </w:r>
    </w:p>
    <w:p>
      <w:pPr>
        <w:spacing w:after="0" w:line="316" w:lineRule="auto"/>
        <w:framePr w:w="3780" w:h="971" w:wrap="auto" w:vAnchor="page" w:hAnchor="page" w:x="1280" w:y="8704"/>
        <w:rPr>
          <w:rFonts w:ascii="Arial" w:cs="Arial" w:eastAsia="Arial" w:hAnsi="Arial"/>
          <w:sz w:val="16"/>
          <w:szCs w:val="16"/>
          <w:color w:val="auto"/>
        </w:rPr>
      </w:pPr>
      <w:r>
        <w:rPr>
          <w:rFonts w:ascii="Arial" w:cs="Arial" w:eastAsia="Arial" w:hAnsi="Arial"/>
          <w:sz w:val="16"/>
          <w:szCs w:val="16"/>
          <w:color w:val="auto"/>
        </w:rPr>
        <w:t>XBRL Taxonomy Extension Calculation Linkbase XBRL Taxonomy Extension Definition Linkbase XBRL Taxonomy Extension Label Linkbase XBRL Taxonomy Extension Presentation Linkbase</w:t>
      </w:r>
    </w:p>
    <w:p>
      <w:pPr>
        <w:ind w:right="140"/>
        <w:spacing w:after="0" w:line="264" w:lineRule="auto"/>
        <w:rPr>
          <w:sz w:val="20"/>
          <w:szCs w:val="20"/>
          <w:color w:val="auto"/>
        </w:rPr>
      </w:pPr>
      <w:r>
        <w:rPr>
          <w:rFonts w:ascii="Arial" w:cs="Arial" w:eastAsia="Arial" w:hAnsi="Arial"/>
          <w:sz w:val="18"/>
          <w:szCs w:val="18"/>
          <w:color w:val="auto"/>
        </w:rPr>
        <w:t>litigation to date. The discussions among the parties have continued through the first quarter of 2017. If the case is not settled, we expect that a trial on the merits of the case will occur during 2018. Based on expert assessment of potential exposure and the status of the settlement discussions, the Company recorded an additional reserve of $50 million during 2016.</w:t>
      </w:r>
    </w:p>
    <w:p>
      <w:pPr>
        <w:spacing w:after="0" w:line="127" w:lineRule="exact"/>
        <w:rPr>
          <w:rFonts w:ascii="Arial" w:cs="Arial" w:eastAsia="Arial" w:hAnsi="Arial"/>
          <w:sz w:val="16"/>
          <w:szCs w:val="16"/>
          <w:color w:val="auto"/>
        </w:rPr>
      </w:pPr>
    </w:p>
    <w:p>
      <w:pPr>
        <w:ind w:right="32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rFonts w:ascii="Arial" w:cs="Arial" w:eastAsia="Arial" w:hAnsi="Arial"/>
          <w:sz w:val="16"/>
          <w:szCs w:val="16"/>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first quarter of 2017.</w:t>
      </w:r>
    </w:p>
    <w:p>
      <w:pPr>
        <w:spacing w:after="0" w:line="15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4"/>
                <w:szCs w:val="14"/>
                <w:color w:val="auto"/>
              </w:rPr>
            </w:pPr>
          </w:p>
        </w:tc>
        <w:tc>
          <w:tcPr>
            <w:tcW w:w="206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40" w:type="dxa"/>
            <w:vAlign w:val="bottom"/>
          </w:tcPr>
          <w:p>
            <w:pPr>
              <w:spacing w:after="0"/>
              <w:rPr>
                <w:sz w:val="12"/>
                <w:szCs w:val="12"/>
                <w:color w:val="auto"/>
              </w:rPr>
            </w:pPr>
          </w:p>
        </w:tc>
        <w:tc>
          <w:tcPr>
            <w:tcW w:w="206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4"/>
              </w:rPr>
              <w:t>of Shares That May Yet</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860" w:type="dxa"/>
            <w:vAlign w:val="bottom"/>
          </w:tcPr>
          <w:p>
            <w:pPr>
              <w:spacing w:after="0"/>
              <w:rPr>
                <w:sz w:val="12"/>
                <w:szCs w:val="12"/>
                <w:color w:val="auto"/>
              </w:rPr>
            </w:pP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1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0" w:type="dxa"/>
            <w:vAlign w:val="bottom"/>
          </w:tcPr>
          <w:p>
            <w:pPr>
              <w:spacing w:after="0"/>
              <w:rPr>
                <w:sz w:val="12"/>
                <w:szCs w:val="12"/>
                <w:color w:val="auto"/>
              </w:rPr>
            </w:pPr>
          </w:p>
        </w:tc>
        <w:tc>
          <w:tcPr>
            <w:tcW w:w="20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5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40" w:type="dxa"/>
            <w:vAlign w:val="bottom"/>
          </w:tcPr>
          <w:p>
            <w:pPr>
              <w:spacing w:after="0"/>
              <w:rPr>
                <w:sz w:val="16"/>
                <w:szCs w:val="16"/>
                <w:color w:val="auto"/>
              </w:rPr>
            </w:pPr>
          </w:p>
        </w:tc>
        <w:tc>
          <w:tcPr>
            <w:tcW w:w="206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60"/>
        </w:trPr>
        <w:tc>
          <w:tcPr>
            <w:tcW w:w="2380" w:type="dxa"/>
            <w:vAlign w:val="bottom"/>
            <w:gridSpan w:val="2"/>
          </w:tcPr>
          <w:p>
            <w:pPr>
              <w:jc w:val="right"/>
              <w:spacing w:after="0"/>
              <w:rPr>
                <w:sz w:val="20"/>
                <w:szCs w:val="20"/>
                <w:color w:val="auto"/>
              </w:rPr>
            </w:pPr>
            <w:r>
              <w:rPr>
                <w:rFonts w:ascii="Arial" w:cs="Arial" w:eastAsia="Arial" w:hAnsi="Arial"/>
                <w:sz w:val="20"/>
                <w:szCs w:val="20"/>
                <w:color w:val="auto"/>
              </w:rPr>
              <w:t>January 1 - 31, 2017</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126,208</w:t>
            </w:r>
          </w:p>
        </w:tc>
        <w:tc>
          <w:tcPr>
            <w:tcW w:w="100" w:type="dxa"/>
            <w:vAlign w:val="bottom"/>
          </w:tcPr>
          <w:p>
            <w:pPr>
              <w:spacing w:after="0"/>
              <w:rPr>
                <w:sz w:val="22"/>
                <w:szCs w:val="22"/>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$117.27</w:t>
            </w:r>
          </w:p>
        </w:tc>
        <w:tc>
          <w:tcPr>
            <w:tcW w:w="100" w:type="dxa"/>
            <w:vAlign w:val="bottom"/>
          </w:tcPr>
          <w:p>
            <w:pPr>
              <w:spacing w:after="0"/>
              <w:rPr>
                <w:sz w:val="22"/>
                <w:szCs w:val="22"/>
                <w:color w:val="auto"/>
              </w:rPr>
            </w:pPr>
          </w:p>
        </w:tc>
        <w:tc>
          <w:tcPr>
            <w:tcW w:w="2280" w:type="dxa"/>
            <w:vAlign w:val="bottom"/>
            <w:tcBorders>
              <w:top w:val="single" w:sz="8" w:color="auto"/>
            </w:tcBorders>
          </w:tcPr>
          <w:p>
            <w:pPr>
              <w:jc w:val="right"/>
              <w:ind w:right="35"/>
              <w:spacing w:after="0"/>
              <w:rPr>
                <w:sz w:val="20"/>
                <w:szCs w:val="20"/>
                <w:color w:val="auto"/>
              </w:rPr>
            </w:pPr>
            <w:r>
              <w:rPr>
                <w:rFonts w:ascii="Arial" w:cs="Arial" w:eastAsia="Arial" w:hAnsi="Arial"/>
                <w:sz w:val="20"/>
                <w:szCs w:val="20"/>
                <w:color w:val="auto"/>
              </w:rPr>
              <w:t>126,208</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2060" w:type="dxa"/>
            <w:vAlign w:val="bottom"/>
            <w:tcBorders>
              <w:top w:val="single" w:sz="8" w:color="auto"/>
            </w:tcBorders>
          </w:tcPr>
          <w:p>
            <w:pPr>
              <w:jc w:val="right"/>
              <w:ind w:right="15"/>
              <w:spacing w:after="0"/>
              <w:rPr>
                <w:sz w:val="20"/>
                <w:szCs w:val="20"/>
                <w:color w:val="auto"/>
              </w:rPr>
            </w:pPr>
            <w:r>
              <w:rPr>
                <w:rFonts w:ascii="Arial" w:cs="Arial" w:eastAsia="Arial" w:hAnsi="Arial"/>
                <w:sz w:val="20"/>
                <w:szCs w:val="20"/>
                <w:color w:val="auto"/>
              </w:rPr>
              <w:t>94,497,656</w:t>
            </w:r>
          </w:p>
        </w:tc>
        <w:tc>
          <w:tcPr>
            <w:tcW w:w="0" w:type="dxa"/>
            <w:vAlign w:val="bottom"/>
          </w:tcPr>
          <w:p>
            <w:pPr>
              <w:spacing w:after="0"/>
              <w:rPr>
                <w:sz w:val="1"/>
                <w:szCs w:val="1"/>
                <w:color w:val="auto"/>
              </w:rPr>
            </w:pPr>
          </w:p>
        </w:tc>
      </w:tr>
      <w:tr>
        <w:trPr>
          <w:trHeight w:val="284"/>
        </w:trPr>
        <w:tc>
          <w:tcPr>
            <w:tcW w:w="1520" w:type="dxa"/>
            <w:vAlign w:val="bottom"/>
          </w:tcPr>
          <w:p>
            <w:pPr>
              <w:jc w:val="right"/>
              <w:spacing w:after="0"/>
              <w:rPr>
                <w:sz w:val="20"/>
                <w:szCs w:val="20"/>
                <w:color w:val="auto"/>
              </w:rPr>
            </w:pPr>
            <w:r>
              <w:rPr>
                <w:rFonts w:ascii="Arial" w:cs="Arial" w:eastAsia="Arial" w:hAnsi="Arial"/>
                <w:sz w:val="20"/>
                <w:szCs w:val="20"/>
                <w:color w:val="auto"/>
              </w:rPr>
              <w:t>February 1</w:t>
            </w:r>
          </w:p>
        </w:tc>
        <w:tc>
          <w:tcPr>
            <w:tcW w:w="860" w:type="dxa"/>
            <w:vAlign w:val="bottom"/>
          </w:tcPr>
          <w:p>
            <w:pPr>
              <w:jc w:val="right"/>
              <w:spacing w:after="0"/>
              <w:rPr>
                <w:sz w:val="20"/>
                <w:szCs w:val="20"/>
                <w:color w:val="auto"/>
              </w:rPr>
            </w:pPr>
            <w:r>
              <w:rPr>
                <w:rFonts w:ascii="Arial" w:cs="Arial" w:eastAsia="Arial" w:hAnsi="Arial"/>
                <w:sz w:val="20"/>
                <w:szCs w:val="20"/>
                <w:color w:val="auto"/>
                <w:w w:val="90"/>
              </w:rPr>
              <w:t>- 28, 2017</w:t>
            </w:r>
          </w:p>
        </w:tc>
        <w:tc>
          <w:tcPr>
            <w:tcW w:w="1840" w:type="dxa"/>
            <w:vAlign w:val="bottom"/>
          </w:tcPr>
          <w:p>
            <w:pPr>
              <w:jc w:val="center"/>
              <w:spacing w:after="0"/>
              <w:rPr>
                <w:sz w:val="20"/>
                <w:szCs w:val="20"/>
                <w:color w:val="auto"/>
              </w:rPr>
            </w:pPr>
            <w:r>
              <w:rPr>
                <w:rFonts w:ascii="Arial" w:cs="Arial" w:eastAsia="Arial" w:hAnsi="Arial"/>
                <w:sz w:val="20"/>
                <w:szCs w:val="20"/>
                <w:color w:val="auto"/>
                <w:w w:val="88"/>
              </w:rPr>
              <w:t>108,327</w:t>
            </w:r>
          </w:p>
        </w:tc>
        <w:tc>
          <w:tcPr>
            <w:tcW w:w="1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88"/>
              </w:rPr>
              <w:t>119.08</w:t>
            </w:r>
          </w:p>
        </w:tc>
        <w:tc>
          <w:tcPr>
            <w:tcW w:w="100" w:type="dxa"/>
            <w:vAlign w:val="bottom"/>
          </w:tcPr>
          <w:p>
            <w:pPr>
              <w:spacing w:after="0"/>
              <w:rPr>
                <w:sz w:val="24"/>
                <w:szCs w:val="24"/>
                <w:color w:val="auto"/>
              </w:rPr>
            </w:pPr>
          </w:p>
        </w:tc>
        <w:tc>
          <w:tcPr>
            <w:tcW w:w="2280" w:type="dxa"/>
            <w:vAlign w:val="bottom"/>
          </w:tcPr>
          <w:p>
            <w:pPr>
              <w:jc w:val="right"/>
              <w:ind w:right="35"/>
              <w:spacing w:after="0"/>
              <w:rPr>
                <w:sz w:val="20"/>
                <w:szCs w:val="20"/>
                <w:color w:val="auto"/>
              </w:rPr>
            </w:pPr>
            <w:r>
              <w:rPr>
                <w:rFonts w:ascii="Arial" w:cs="Arial" w:eastAsia="Arial" w:hAnsi="Arial"/>
                <w:sz w:val="20"/>
                <w:szCs w:val="20"/>
                <w:color w:val="auto"/>
              </w:rPr>
              <w:t>108,327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15"/>
              <w:spacing w:after="0"/>
              <w:rPr>
                <w:sz w:val="20"/>
                <w:szCs w:val="20"/>
                <w:color w:val="auto"/>
              </w:rPr>
            </w:pPr>
            <w:r>
              <w:rPr>
                <w:rFonts w:ascii="Arial" w:cs="Arial" w:eastAsia="Arial" w:hAnsi="Arial"/>
                <w:sz w:val="20"/>
                <w:szCs w:val="20"/>
                <w:color w:val="auto"/>
              </w:rPr>
              <w:t>81,597,847</w:t>
            </w:r>
          </w:p>
        </w:tc>
        <w:tc>
          <w:tcPr>
            <w:tcW w:w="0" w:type="dxa"/>
            <w:vAlign w:val="bottom"/>
          </w:tcPr>
          <w:p>
            <w:pPr>
              <w:spacing w:after="0"/>
              <w:rPr>
                <w:sz w:val="1"/>
                <w:szCs w:val="1"/>
                <w:color w:val="auto"/>
              </w:rPr>
            </w:pPr>
          </w:p>
        </w:tc>
      </w:tr>
      <w:tr>
        <w:trPr>
          <w:trHeight w:val="284"/>
        </w:trPr>
        <w:tc>
          <w:tcPr>
            <w:tcW w:w="1520" w:type="dxa"/>
            <w:vAlign w:val="bottom"/>
          </w:tcPr>
          <w:p>
            <w:pPr>
              <w:jc w:val="right"/>
              <w:spacing w:after="0"/>
              <w:rPr>
                <w:sz w:val="20"/>
                <w:szCs w:val="20"/>
                <w:color w:val="auto"/>
              </w:rPr>
            </w:pPr>
            <w:r>
              <w:rPr>
                <w:rFonts w:ascii="Arial" w:cs="Arial" w:eastAsia="Arial" w:hAnsi="Arial"/>
                <w:sz w:val="20"/>
                <w:szCs w:val="20"/>
                <w:color w:val="auto"/>
              </w:rPr>
              <w:t>March 1</w:t>
            </w:r>
          </w:p>
        </w:tc>
        <w:tc>
          <w:tcPr>
            <w:tcW w:w="860" w:type="dxa"/>
            <w:vAlign w:val="bottom"/>
          </w:tcPr>
          <w:p>
            <w:pPr>
              <w:jc w:val="right"/>
              <w:spacing w:after="0"/>
              <w:rPr>
                <w:sz w:val="20"/>
                <w:szCs w:val="20"/>
                <w:color w:val="auto"/>
              </w:rPr>
            </w:pPr>
            <w:r>
              <w:rPr>
                <w:rFonts w:ascii="Arial" w:cs="Arial" w:eastAsia="Arial" w:hAnsi="Arial"/>
                <w:sz w:val="20"/>
                <w:szCs w:val="20"/>
                <w:color w:val="auto"/>
                <w:w w:val="90"/>
              </w:rPr>
              <w:t>- 31, 2017</w:t>
            </w:r>
          </w:p>
        </w:tc>
        <w:tc>
          <w:tcPr>
            <w:tcW w:w="1840" w:type="dxa"/>
            <w:vAlign w:val="bottom"/>
          </w:tcPr>
          <w:p>
            <w:pPr>
              <w:jc w:val="center"/>
              <w:spacing w:after="0"/>
              <w:rPr>
                <w:sz w:val="20"/>
                <w:szCs w:val="20"/>
                <w:color w:val="auto"/>
              </w:rPr>
            </w:pPr>
            <w:r>
              <w:rPr>
                <w:rFonts w:ascii="Arial" w:cs="Arial" w:eastAsia="Arial" w:hAnsi="Arial"/>
                <w:sz w:val="20"/>
                <w:szCs w:val="20"/>
                <w:color w:val="auto"/>
                <w:w w:val="88"/>
              </w:rPr>
              <w:t>77,754</w:t>
            </w:r>
          </w:p>
        </w:tc>
        <w:tc>
          <w:tcPr>
            <w:tcW w:w="1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88"/>
              </w:rPr>
              <w:t>127.48</w:t>
            </w:r>
          </w:p>
        </w:tc>
        <w:tc>
          <w:tcPr>
            <w:tcW w:w="100" w:type="dxa"/>
            <w:vAlign w:val="bottom"/>
          </w:tcPr>
          <w:p>
            <w:pPr>
              <w:spacing w:after="0"/>
              <w:rPr>
                <w:sz w:val="24"/>
                <w:szCs w:val="24"/>
                <w:color w:val="auto"/>
              </w:rPr>
            </w:pPr>
          </w:p>
        </w:tc>
        <w:tc>
          <w:tcPr>
            <w:tcW w:w="2280" w:type="dxa"/>
            <w:vAlign w:val="bottom"/>
          </w:tcPr>
          <w:p>
            <w:pPr>
              <w:jc w:val="right"/>
              <w:ind w:right="35"/>
              <w:spacing w:after="0"/>
              <w:rPr>
                <w:sz w:val="20"/>
                <w:szCs w:val="20"/>
                <w:color w:val="auto"/>
              </w:rPr>
            </w:pPr>
            <w:r>
              <w:rPr>
                <w:rFonts w:ascii="Arial" w:cs="Arial" w:eastAsia="Arial" w:hAnsi="Arial"/>
                <w:sz w:val="20"/>
                <w:szCs w:val="20"/>
                <w:color w:val="auto"/>
              </w:rPr>
              <w:t>77,754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15"/>
              <w:spacing w:after="0"/>
              <w:rPr>
                <w:sz w:val="20"/>
                <w:szCs w:val="20"/>
                <w:color w:val="auto"/>
              </w:rPr>
            </w:pPr>
            <w:r>
              <w:rPr>
                <w:rFonts w:ascii="Arial" w:cs="Arial" w:eastAsia="Arial" w:hAnsi="Arial"/>
                <w:sz w:val="20"/>
                <w:szCs w:val="20"/>
                <w:color w:val="auto"/>
              </w:rPr>
              <w:t>71,685,772</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20" w:type="dxa"/>
            <w:vAlign w:val="bottom"/>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20"/>
                <w:szCs w:val="20"/>
                <w:b w:val="1"/>
                <w:bCs w:val="1"/>
                <w:color w:val="auto"/>
                <w:w w:val="88"/>
              </w:rPr>
              <w:t>312,289</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20"/>
                <w:szCs w:val="20"/>
                <w:b w:val="1"/>
                <w:bCs w:val="1"/>
                <w:color w:val="auto"/>
                <w:w w:val="88"/>
              </w:rPr>
              <w:t>$120.44</w:t>
            </w:r>
          </w:p>
        </w:tc>
        <w:tc>
          <w:tcPr>
            <w:tcW w:w="100" w:type="dxa"/>
            <w:vAlign w:val="bottom"/>
          </w:tcPr>
          <w:p>
            <w:pPr>
              <w:spacing w:after="0"/>
              <w:rPr>
                <w:sz w:val="22"/>
                <w:szCs w:val="22"/>
                <w:color w:val="auto"/>
              </w:rPr>
            </w:pPr>
          </w:p>
        </w:tc>
        <w:tc>
          <w:tcPr>
            <w:tcW w:w="2280" w:type="dxa"/>
            <w:vAlign w:val="bottom"/>
          </w:tcPr>
          <w:p>
            <w:pPr>
              <w:jc w:val="right"/>
              <w:ind w:right="35"/>
              <w:spacing w:after="0"/>
              <w:rPr>
                <w:sz w:val="20"/>
                <w:szCs w:val="20"/>
                <w:color w:val="auto"/>
              </w:rPr>
            </w:pPr>
            <w:r>
              <w:rPr>
                <w:rFonts w:ascii="Arial" w:cs="Arial" w:eastAsia="Arial" w:hAnsi="Arial"/>
                <w:sz w:val="20"/>
                <w:szCs w:val="20"/>
                <w:b w:val="1"/>
                <w:bCs w:val="1"/>
                <w:color w:val="auto"/>
              </w:rPr>
              <w:t>312,289</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b w:val="1"/>
                <w:bCs w:val="1"/>
                <w:color w:val="auto"/>
                <w:w w:val="89"/>
              </w:rPr>
              <w:t>$</w:t>
            </w:r>
          </w:p>
        </w:tc>
        <w:tc>
          <w:tcPr>
            <w:tcW w:w="2060" w:type="dxa"/>
            <w:vAlign w:val="bottom"/>
          </w:tcPr>
          <w:p>
            <w:pPr>
              <w:jc w:val="right"/>
              <w:ind w:right="15"/>
              <w:spacing w:after="0"/>
              <w:rPr>
                <w:sz w:val="20"/>
                <w:szCs w:val="20"/>
                <w:color w:val="auto"/>
              </w:rPr>
            </w:pPr>
            <w:r>
              <w:rPr>
                <w:rFonts w:ascii="Arial" w:cs="Arial" w:eastAsia="Arial" w:hAnsi="Arial"/>
                <w:sz w:val="20"/>
                <w:szCs w:val="20"/>
                <w:b w:val="1"/>
                <w:bCs w:val="1"/>
                <w:color w:val="auto"/>
              </w:rPr>
              <w:t>71,685,772</w:t>
            </w:r>
          </w:p>
        </w:tc>
        <w:tc>
          <w:tcPr>
            <w:tcW w:w="0" w:type="dxa"/>
            <w:vAlign w:val="bottom"/>
          </w:tcPr>
          <w:p>
            <w:pPr>
              <w:spacing w:after="0"/>
              <w:rPr>
                <w:sz w:val="1"/>
                <w:szCs w:val="1"/>
                <w:color w:val="auto"/>
              </w:rPr>
            </w:pPr>
          </w:p>
        </w:tc>
      </w:tr>
    </w:tbl>
    <w:p>
      <w:pPr>
        <w:spacing w:after="0" w:line="198"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and amended in August 2015 (i) to increase from $250 million to $500 million the total purchase price of shares that may be repurchased under the program and (ii) to extend the program through December 31, 2017. Authorization of the repurchase program may be modified, suspended, or discontinued at any time.</w:t>
      </w:r>
    </w:p>
    <w:p>
      <w:pPr>
        <w:spacing w:after="0" w:line="311"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6060" w:type="dxa"/>
            <w:vAlign w:val="bottom"/>
          </w:tcPr>
          <w:p>
            <w:pPr>
              <w:spacing w:after="0"/>
              <w:rPr>
                <w:sz w:val="17"/>
                <w:szCs w:val="17"/>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7180" w:type="dxa"/>
            <w:vAlign w:val="bottom"/>
            <w:gridSpan w:val="3"/>
          </w:tcPr>
          <w:p>
            <w:pPr>
              <w:ind w:left="260"/>
              <w:spacing w:after="0"/>
              <w:rPr>
                <w:sz w:val="20"/>
                <w:szCs w:val="20"/>
                <w:color w:val="auto"/>
              </w:rPr>
            </w:pPr>
            <w:r>
              <w:rPr>
                <w:rFonts w:ascii="Arial" w:cs="Arial" w:eastAsia="Arial" w:hAnsi="Arial"/>
                <w:sz w:val="18"/>
                <w:szCs w:val="18"/>
                <w:color w:val="auto"/>
                <w:w w:val="96"/>
              </w:rPr>
              <w:t>Certification of Andreas Fibig pursuant to Section 302 of the Sarbanes-Oxley Act of 2002.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gridSpan w:val="3"/>
          </w:tcPr>
          <w:p>
            <w:pPr>
              <w:ind w:left="260"/>
              <w:spacing w:after="0"/>
              <w:rPr>
                <w:sz w:val="20"/>
                <w:szCs w:val="20"/>
                <w:color w:val="auto"/>
              </w:rPr>
            </w:pPr>
            <w:r>
              <w:rPr>
                <w:rFonts w:ascii="Arial" w:cs="Arial" w:eastAsia="Arial" w:hAnsi="Arial"/>
                <w:sz w:val="18"/>
                <w:szCs w:val="18"/>
                <w:color w:val="auto"/>
                <w:w w:val="91"/>
              </w:rPr>
              <w:t>Certification of Richard A. O'Leary pursuant to Section 302 of the Sarbanes-Oxley Act of 2002.</w:t>
            </w:r>
          </w:p>
        </w:tc>
      </w:tr>
    </w:tbl>
    <w:p>
      <w:pPr>
        <w:spacing w:after="0" w:line="40" w:lineRule="exact"/>
        <w:rPr>
          <w:rFonts w:ascii="Arial" w:cs="Arial" w:eastAsia="Arial" w:hAnsi="Arial"/>
          <w:sz w:val="16"/>
          <w:szCs w:val="16"/>
          <w:color w:val="auto"/>
        </w:rPr>
      </w:pPr>
    </w:p>
    <w:p>
      <w:pPr>
        <w:ind w:left="1080" w:hanging="1045"/>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12</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101.INS</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101.DEF</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79" w:lineRule="exact"/>
        <w:rPr>
          <w:rFonts w:ascii="Arial" w:cs="Arial" w:eastAsia="Arial" w:hAnsi="Arial"/>
          <w:sz w:val="16"/>
          <w:szCs w:val="16"/>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746" w:right="419" w:bottom="1440" w:gutter="0" w:footer="0" w:header="0"/>
        </w:sectPr>
      </w:pPr>
    </w:p>
    <w:bookmarkStart w:id="35" w:name="page36"/>
    <w:bookmarkEnd w:id="35"/>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A. O'Leary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80"/>
          </w:cols>
          <w:pgMar w:left="240" w:top="580" w:right="879" w:bottom="1440" w:gutter="0" w:footer="0" w:header="0"/>
        </w:sectPr>
      </w:pPr>
    </w:p>
    <w:bookmarkStart w:id="36" w:name="page37"/>
    <w:bookmarkEnd w:id="36"/>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12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840" w:type="dxa"/>
            <w:vAlign w:val="bottom"/>
          </w:tcPr>
          <w:p>
            <w:pPr>
              <w:jc w:val="right"/>
              <w:ind w:right="96"/>
              <w:spacing w:after="0"/>
              <w:rPr>
                <w:sz w:val="20"/>
                <w:szCs w:val="20"/>
                <w:color w:val="auto"/>
              </w:rPr>
            </w:pPr>
            <w:r>
              <w:rPr>
                <w:rFonts w:ascii="Arial" w:cs="Arial" w:eastAsia="Arial" w:hAnsi="Arial"/>
                <w:sz w:val="14"/>
                <w:szCs w:val="14"/>
                <w:color w:val="auto"/>
              </w:rPr>
              <w:t>Number</w:t>
            </w:r>
          </w:p>
        </w:tc>
        <w:tc>
          <w:tcPr>
            <w:tcW w:w="712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55"/>
        </w:trPr>
        <w:tc>
          <w:tcPr>
            <w:tcW w:w="840" w:type="dxa"/>
            <w:vAlign w:val="bottom"/>
          </w:tcPr>
          <w:p>
            <w:pPr>
              <w:jc w:val="right"/>
              <w:ind w:right="436"/>
              <w:spacing w:after="0"/>
              <w:rPr>
                <w:sz w:val="20"/>
                <w:szCs w:val="20"/>
                <w:color w:val="auto"/>
              </w:rPr>
            </w:pPr>
            <w:r>
              <w:rPr>
                <w:rFonts w:ascii="Arial" w:cs="Arial" w:eastAsia="Arial" w:hAnsi="Arial"/>
                <w:sz w:val="18"/>
                <w:szCs w:val="18"/>
                <w:color w:val="auto"/>
                <w:w w:val="85"/>
              </w:rPr>
              <w:t>31.1</w:t>
            </w:r>
          </w:p>
        </w:tc>
        <w:tc>
          <w:tcPr>
            <w:tcW w:w="7120" w:type="dxa"/>
            <w:vAlign w:val="bottom"/>
          </w:tcPr>
          <w:p>
            <w:pPr>
              <w:ind w:left="200"/>
              <w:spacing w:after="0"/>
              <w:rPr>
                <w:sz w:val="20"/>
                <w:szCs w:val="20"/>
                <w:color w:val="auto"/>
              </w:rPr>
            </w:pPr>
            <w:r>
              <w:rPr>
                <w:rFonts w:ascii="Arial" w:cs="Arial" w:eastAsia="Arial" w:hAnsi="Arial"/>
                <w:sz w:val="18"/>
                <w:szCs w:val="18"/>
                <w:color w:val="auto"/>
                <w:w w:val="96"/>
              </w:rPr>
              <w:t>Certification of Andreas Fibig pursuant to Section 302 of the Sarbanes-Oxley Act of 2002.</w:t>
            </w:r>
          </w:p>
        </w:tc>
      </w:tr>
      <w:tr>
        <w:trPr>
          <w:trHeight w:val="270"/>
        </w:trPr>
        <w:tc>
          <w:tcPr>
            <w:tcW w:w="840" w:type="dxa"/>
            <w:vAlign w:val="bottom"/>
          </w:tcPr>
          <w:p>
            <w:pPr>
              <w:jc w:val="right"/>
              <w:ind w:right="436"/>
              <w:spacing w:after="0"/>
              <w:rPr>
                <w:sz w:val="20"/>
                <w:szCs w:val="20"/>
                <w:color w:val="auto"/>
              </w:rPr>
            </w:pPr>
            <w:r>
              <w:rPr>
                <w:rFonts w:ascii="Arial" w:cs="Arial" w:eastAsia="Arial" w:hAnsi="Arial"/>
                <w:sz w:val="18"/>
                <w:szCs w:val="18"/>
                <w:color w:val="auto"/>
                <w:w w:val="85"/>
              </w:rPr>
              <w:t>31.2</w:t>
            </w:r>
          </w:p>
        </w:tc>
        <w:tc>
          <w:tcPr>
            <w:tcW w:w="7120" w:type="dxa"/>
            <w:vAlign w:val="bottom"/>
          </w:tcPr>
          <w:p>
            <w:pPr>
              <w:ind w:left="200"/>
              <w:spacing w:after="0"/>
              <w:rPr>
                <w:sz w:val="20"/>
                <w:szCs w:val="20"/>
                <w:color w:val="auto"/>
              </w:rPr>
            </w:pPr>
            <w:r>
              <w:rPr>
                <w:rFonts w:ascii="Arial" w:cs="Arial" w:eastAsia="Arial" w:hAnsi="Arial"/>
                <w:sz w:val="18"/>
                <w:szCs w:val="18"/>
                <w:color w:val="auto"/>
                <w:w w:val="91"/>
              </w:rPr>
              <w:t>Certification of Richard A. O'Leary pursuant to Section 302 of the Sarbanes-Oxley Act of 2002.</w:t>
            </w:r>
          </w:p>
        </w:tc>
      </w:tr>
    </w:tbl>
    <w:p>
      <w:pPr>
        <w:spacing w:after="0" w:line="40" w:lineRule="exact"/>
        <w:rPr>
          <w:sz w:val="20"/>
          <w:szCs w:val="20"/>
          <w:color w:val="auto"/>
        </w:rPr>
      </w:pPr>
    </w:p>
    <w:p>
      <w:pPr>
        <w:ind w:left="1045" w:hanging="1045"/>
        <w:spacing w:after="0" w:line="277" w:lineRule="auto"/>
        <w:tabs>
          <w:tab w:leader="none" w:pos="10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12</w:t>
            </w:r>
          </w:p>
        </w:tc>
        <w:tc>
          <w:tcPr>
            <w:tcW w:w="3880" w:type="dxa"/>
            <w:vAlign w:val="bottom"/>
          </w:tcPr>
          <w:p>
            <w:pPr>
              <w:ind w:left="180"/>
              <w:spacing w:after="0"/>
              <w:rPr>
                <w:sz w:val="20"/>
                <w:szCs w:val="20"/>
                <w:color w:val="auto"/>
              </w:rPr>
            </w:pPr>
            <w:r>
              <w:rPr>
                <w:rFonts w:ascii="Arial" w:cs="Arial" w:eastAsia="Arial" w:hAnsi="Arial"/>
                <w:sz w:val="18"/>
                <w:szCs w:val="18"/>
                <w:color w:val="auto"/>
              </w:rPr>
              <w:t>Statement re: Computation of Ratios</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56" w:lineRule="exact"/>
        <w:rPr>
          <w:sz w:val="20"/>
          <w:szCs w:val="20"/>
          <w:color w:val="auto"/>
        </w:rPr>
      </w:pPr>
    </w:p>
    <w:p>
      <w:pPr>
        <w:jc w:val="center"/>
        <w:ind w:right="-16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5"/>
          </w:cols>
          <w:pgMar w:left="275" w:top="580" w:right="4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Computation of Ratios of Earnings to Fixed Charges</w:t>
      </w:r>
    </w:p>
    <w:p>
      <w:pPr>
        <w:spacing w:after="0" w:line="212"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Ratio of Earnings to Fixed Charges</w:t>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40"/>
        <w:spacing w:after="0" w:line="293" w:lineRule="auto"/>
        <w:rPr>
          <w:sz w:val="20"/>
          <w:szCs w:val="20"/>
          <w:color w:val="auto"/>
        </w:rPr>
      </w:pPr>
      <w:r>
        <w:rPr>
          <w:rFonts w:ascii="Arial" w:cs="Arial" w:eastAsia="Arial" w:hAnsi="Arial"/>
          <w:sz w:val="16"/>
          <w:szCs w:val="16"/>
          <w:i w:val="1"/>
          <w:iCs w:val="1"/>
          <w:color w:val="auto"/>
        </w:rPr>
        <w:t>(Amounts in thousands except Ratio of Earnings to Fixed Charges)</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Three months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ended</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Fiscal Year</w:t>
            </w: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0"/>
        </w:trPr>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31, 2017</w:t>
            </w: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r>
    </w:tbl>
    <w:p>
      <w:pPr>
        <w:spacing w:after="0" w:line="64" w:lineRule="exact"/>
        <w:rPr>
          <w:sz w:val="20"/>
          <w:szCs w:val="20"/>
          <w:color w:val="auto"/>
        </w:rPr>
      </w:pPr>
    </w:p>
    <w:p>
      <w:pPr>
        <w:sectPr>
          <w:pgSz w:w="11900" w:h="16838" w:orient="portrait"/>
          <w:cols w:equalWidth="0" w:num="2">
            <w:col w:w="3740" w:space="40"/>
            <w:col w:w="76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3780" w:type="dxa"/>
            <w:vAlign w:val="bottom"/>
          </w:tcPr>
          <w:p>
            <w:pPr>
              <w:ind w:left="160"/>
              <w:spacing w:after="0"/>
              <w:rPr>
                <w:sz w:val="20"/>
                <w:szCs w:val="20"/>
                <w:color w:val="auto"/>
              </w:rPr>
            </w:pPr>
            <w:r>
              <w:rPr>
                <w:rFonts w:ascii="Arial" w:cs="Arial" w:eastAsia="Arial" w:hAnsi="Arial"/>
                <w:sz w:val="16"/>
                <w:szCs w:val="16"/>
                <w:i w:val="1"/>
                <w:iCs w:val="1"/>
                <w:color w:val="auto"/>
              </w:rPr>
              <w:t>Add:</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taxes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138,487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523,717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539,101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549,061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485,210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443,415</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Fixed charges</w:t>
            </w:r>
          </w:p>
        </w:tc>
        <w:tc>
          <w:tcPr>
            <w:tcW w:w="2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16,773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68,838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63,158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63,098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64,194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59,009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237"/>
        </w:trPr>
        <w:tc>
          <w:tcPr>
            <w:tcW w:w="3780" w:type="dxa"/>
            <w:vAlign w:val="bottom"/>
          </w:tcPr>
          <w:p>
            <w:pPr>
              <w:ind w:left="160"/>
              <w:spacing w:after="0"/>
              <w:rPr>
                <w:sz w:val="20"/>
                <w:szCs w:val="20"/>
                <w:color w:val="auto"/>
              </w:rPr>
            </w:pPr>
            <w:r>
              <w:rPr>
                <w:rFonts w:ascii="Arial" w:cs="Arial" w:eastAsia="Arial" w:hAnsi="Arial"/>
                <w:sz w:val="16"/>
                <w:szCs w:val="16"/>
                <w:i w:val="1"/>
                <w:iCs w:val="1"/>
                <w:color w:val="auto"/>
              </w:rPr>
              <w:t>Less: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Earnings available for fixed charges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155,498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593,243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600,564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610,321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545,862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498,526</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Fixed Charges: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52,989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46,767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41,753</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Capitalized interest</w:t>
            </w:r>
          </w:p>
        </w:tc>
        <w:tc>
          <w:tcPr>
            <w:tcW w:w="2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5,893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5,572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6,629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Portion of rental expense which represents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8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factor</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2,954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11,814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11,203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11,459</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10,798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10,494</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16,773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68,838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63,158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63,098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64,194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59,009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Represents one-third of rental expense, which we deem to be a reasonable estimate of the portion of our rental expense that is attributable to interest.</w:t>
      </w:r>
    </w:p>
    <w:p>
      <w:pPr>
        <w:sectPr>
          <w:pgSz w:w="11900" w:h="16838" w:orient="portrait"/>
          <w:cols w:equalWidth="0" w:num="1">
            <w:col w:w="11420"/>
          </w:cols>
          <w:pgMar w:left="240" w:top="125" w:right="2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8, 2017</w:t>
      </w:r>
    </w:p>
    <w:p>
      <w:pPr>
        <w:spacing w:after="0" w:line="63"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7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Richard A. O'Leary, certify that:</w:t>
      </w:r>
    </w:p>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8, 2017</w:t>
      </w:r>
    </w:p>
    <w:p>
      <w:pPr>
        <w:spacing w:after="0" w:line="63"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8180" w:type="dxa"/>
            <w:vAlign w:val="bottom"/>
          </w:tcPr>
          <w:p>
            <w:pPr>
              <w:ind w:left="40"/>
              <w:spacing w:after="0"/>
              <w:rPr>
                <w:sz w:val="20"/>
                <w:szCs w:val="20"/>
                <w:color w:val="auto"/>
              </w:rPr>
            </w:pPr>
            <w:r>
              <w:rPr>
                <w:rFonts w:ascii="Arial" w:cs="Arial" w:eastAsia="Arial" w:hAnsi="Arial"/>
                <w:sz w:val="18"/>
                <w:szCs w:val="18"/>
                <w:color w:val="auto"/>
              </w:rPr>
              <w:t>/s/ Richard A. O'Leary</w:t>
            </w:r>
          </w:p>
        </w:tc>
      </w:tr>
      <w:tr>
        <w:trPr>
          <w:trHeight w:val="27"/>
        </w:trPr>
        <w:tc>
          <w:tcPr>
            <w:tcW w:w="64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8180" w:type="dxa"/>
            <w:vAlign w:val="bottom"/>
          </w:tcPr>
          <w:p>
            <w:pPr>
              <w:ind w:left="40"/>
              <w:spacing w:after="0"/>
              <w:rPr>
                <w:sz w:val="20"/>
                <w:szCs w:val="20"/>
                <w:color w:val="auto"/>
              </w:rPr>
            </w:pPr>
            <w:r>
              <w:rPr>
                <w:rFonts w:ascii="Arial" w:cs="Arial" w:eastAsia="Arial" w:hAnsi="Arial"/>
                <w:sz w:val="18"/>
                <w:szCs w:val="18"/>
                <w:color w:val="auto"/>
              </w:rPr>
              <w:t>Richard A. O'Leary</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81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March 31, 2017 as filed with the Securities and Exchange Commission on the date hereof (the "Report"), Andreas Fibig, as Chief Executive Officer, and Richard A. O'Leary, as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Andreas Fibig</w:t>
            </w:r>
          </w:p>
        </w:tc>
        <w:tc>
          <w:tcPr>
            <w:tcW w:w="58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Andreas Fibig</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May 8, 2017</w:t>
            </w:r>
          </w:p>
        </w:tc>
        <w:tc>
          <w:tcPr>
            <w:tcW w:w="580" w:type="dxa"/>
            <w:vAlign w:val="bottom"/>
          </w:tcPr>
          <w:p>
            <w:pPr>
              <w:spacing w:after="0"/>
              <w:rPr>
                <w:sz w:val="23"/>
                <w:szCs w:val="23"/>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Richard A. O'Leary</w:t>
            </w:r>
          </w:p>
        </w:tc>
        <w:tc>
          <w:tcPr>
            <w:tcW w:w="58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Richard A. O'Leary</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May 8, 2017</w:t>
            </w:r>
          </w:p>
        </w:tc>
        <w:tc>
          <w:tcPr>
            <w:tcW w:w="5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lvl w:ilvl="1">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Roman"/>
      <w:start w:val="4"/>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upperLetter"/>
      <w:start w:val="2"/>
    </w:lvl>
    <w:lvl w:ilvl="1">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32"/>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2019-12-05T04:25:28Z</dcterms:created>
  <dcterms:modified xsi:type="dcterms:W3CDTF">2019-12-05T04:25:28Z</dcterms:modified>
</cp:coreProperties>
</file>