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1" w:lineRule="exact"/>
        <w:rPr>
          <w:sz w:val="24"/>
          <w:szCs w:val="24"/>
          <w:color w:val="auto"/>
        </w:rPr>
      </w:pPr>
    </w:p>
    <w:p>
      <w:pPr>
        <w:sectPr>
          <w:pgSz w:w="11900" w:h="16838" w:orient="portrait"/>
          <w:cols w:equalWidth="0" w:num="2">
            <w:col w:w="7420" w:space="720"/>
            <w:col w:w="328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280" w:space="720"/>
            <w:col w:w="3420"/>
          </w:cols>
          <w:pgMar w:left="240" w:top="733" w:right="239" w:bottom="1440" w:gutter="0" w:footer="0" w:header="0"/>
          <w:type w:val="continuous"/>
        </w:sectPr>
      </w:pPr>
    </w:p>
    <w:p>
      <w:pPr>
        <w:ind w:left="3820"/>
        <w:spacing w:after="0"/>
        <w:rPr>
          <w:sz w:val="20"/>
          <w:szCs w:val="20"/>
          <w:color w:val="auto"/>
        </w:rPr>
      </w:pPr>
      <w:r>
        <w:rPr>
          <w:rFonts w:ascii="Arial" w:cs="Arial" w:eastAsia="Arial" w:hAnsi="Arial"/>
          <w:sz w:val="16"/>
          <w:szCs w:val="16"/>
          <w:b w:val="1"/>
          <w:bCs w:val="1"/>
          <w:color w:val="auto"/>
        </w:rPr>
        <w:t>521 West 57th Street, New York, N.Y. 10019-2960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420"/>
          </w:cols>
          <w:pgMar w:left="240" w:top="733"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20" w:firstLine="4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733" w:right="2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660" w:space="680"/>
            <w:col w:w="5420" w:space="720"/>
            <w:col w:w="1980" w:space="720"/>
            <w:col w:w="240"/>
          </w:cols>
          <w:pgMar w:left="240" w:top="733" w:right="23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4" w:lineRule="exact"/>
        <w:rPr>
          <w:sz w:val="24"/>
          <w:szCs w:val="24"/>
          <w:color w:val="auto"/>
        </w:rPr>
      </w:pPr>
    </w:p>
    <w:p>
      <w:pPr>
        <w:sectPr>
          <w:pgSz w:w="11900" w:h="16838" w:orient="portrait"/>
          <w:cols w:equalWidth="0" w:num="4">
            <w:col w:w="1620" w:space="720"/>
            <w:col w:w="5420" w:space="720"/>
            <w:col w:w="1980" w:space="720"/>
            <w:col w:w="240"/>
          </w:cols>
          <w:pgMar w:left="240" w:top="733" w:right="239" w:bottom="1440" w:gutter="0" w:footer="0" w:header="0"/>
          <w:type w:val="continuous"/>
        </w:sectPr>
      </w:pPr>
    </w:p>
    <w:p>
      <w:pPr>
        <w:ind w:right="19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April 26, 2016: 79,713,873</w:t>
      </w:r>
    </w:p>
    <w:p>
      <w:pPr>
        <w:sectPr>
          <w:pgSz w:w="11900" w:h="16838" w:orient="portrait"/>
          <w:cols w:equalWidth="0" w:num="1">
            <w:col w:w="11420"/>
          </w:cols>
          <w:pgMar w:left="240" w:top="733"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2016</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2015</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181,988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$8,477 and $8,229, respectively)</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609,587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537,896</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282,181</w:t>
            </w: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15,832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17,450</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291,922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289,388</w:t>
            </w: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600,696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589,019</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146,981</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1,891,529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1,455,884</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1,839,244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1,812,283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(1,105,305)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(1,079,489)</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732,794</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951,177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941,389</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306,004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160,990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166,323</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119,060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4,162,460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3,721,454</w:t>
            </w:r>
          </w:p>
        </w:tc>
      </w:tr>
      <w:tr>
        <w:trPr>
          <w:trHeight w:val="73"/>
        </w:trPr>
        <w:tc>
          <w:tcPr>
            <w:tcW w:w="76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74"/>
        </w:trPr>
        <w:tc>
          <w:tcPr>
            <w:tcW w:w="76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132,349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276,929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302,473</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payroll and bonus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48,843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44,640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44,824</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217,884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213,639</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712,748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742,128</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1,369,955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937,844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gains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42,557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43,260</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242,383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157,950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160,849</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1,384,336</w:t>
            </w: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Common stock 12 1/2¢ par value; authorized 500,000,000 shares; issued 115,858,190 shares as of March 31,</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3"/>
        </w:trPr>
        <w:tc>
          <w:tcPr>
            <w:tcW w:w="7660" w:type="dxa"/>
            <w:vAlign w:val="bottom"/>
          </w:tcPr>
          <w:p>
            <w:pPr>
              <w:ind w:left="380"/>
              <w:spacing w:after="0"/>
              <w:rPr>
                <w:sz w:val="20"/>
                <w:szCs w:val="20"/>
                <w:color w:val="auto"/>
              </w:rPr>
            </w:pPr>
            <w:r>
              <w:rPr>
                <w:rFonts w:ascii="Arial" w:cs="Arial" w:eastAsia="Arial" w:hAnsi="Arial"/>
                <w:sz w:val="16"/>
                <w:szCs w:val="16"/>
                <w:color w:val="auto"/>
                <w:w w:val="94"/>
              </w:rPr>
              <w:t>2016 and December 31, 2015 and outstanding 79,777,759 and 80,022,291 shares as of March 31, 2016 and</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December 31, 2015</w:t>
            </w:r>
          </w:p>
        </w:tc>
        <w:tc>
          <w:tcPr>
            <w:tcW w:w="24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14,470</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140,802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3,678,219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3,604,254</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(613,439)</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Treasury stock, at cost - 36,080,431 shares as of March 31, 2016 and 35,835,899 shares as of December 31,</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2015</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(1,598,968)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(1,555,769)</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1,590,318</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4,672</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1,594,990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4,162,460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3,721,454</w:t>
            </w:r>
          </w:p>
        </w:tc>
      </w:tr>
      <w:tr>
        <w:trPr>
          <w:trHeight w:val="3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1440" w:gutter="0" w:footer="0" w:header="0"/>
          <w:type w:val="continuous"/>
        </w:sectPr>
      </w:pPr>
    </w:p>
    <w:bookmarkStart w:id="2" w:name="page3"/>
    <w:bookmarkEnd w:id="2"/>
    <w:p>
      <w:pPr>
        <w:jc w:val="center"/>
        <w:ind w:left="1100" w:right="2180"/>
        <w:spacing w:after="0" w:line="261" w:lineRule="auto"/>
        <w:rPr>
          <w:sz w:val="20"/>
          <w:szCs w:val="20"/>
          <w:color w:val="auto"/>
        </w:rPr>
      </w:pPr>
      <w:r>
        <w:rPr>
          <w:rFonts w:ascii="Arial" w:cs="Arial" w:eastAsia="Arial" w:hAnsi="Arial"/>
          <w:sz w:val="18"/>
          <w:szCs w:val="18"/>
          <w:b w:val="1"/>
          <w:bCs w:val="1"/>
          <w:color w:val="auto"/>
        </w:rPr>
        <w:t xml:space="preserve">INTERNATIONAL FLAVORS &amp; FRAGRANCES INC. CONSOLIDATED STATEMENT OF COMPREHENSIVE INCOME </w:t>
      </w:r>
      <w:r>
        <w:rPr>
          <w:rFonts w:ascii="Arial" w:cs="Arial" w:eastAsia="Arial" w:hAnsi="Arial"/>
          <w:sz w:val="18"/>
          <w:szCs w:val="18"/>
          <w:color w:val="auto"/>
        </w:rPr>
        <w:t>(AMOUNT IN THOUSANDS EXCEPT PER SHARE AMOUNTS)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783,312</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774,907</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423,103</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428,630</w:t>
            </w:r>
          </w:p>
        </w:tc>
      </w:tr>
      <w:tr>
        <w:trPr>
          <w:trHeight w:val="27"/>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360,209</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346,277</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63,385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63,462</w:t>
            </w:r>
          </w:p>
        </w:tc>
      </w:tr>
      <w:tr>
        <w:trPr>
          <w:trHeight w:val="27"/>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123,543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118,995</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6,061</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167,220</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161,793</w:t>
            </w:r>
          </w:p>
        </w:tc>
      </w:tr>
      <w:tr>
        <w:trPr>
          <w:trHeight w:val="27"/>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(5,710)</w:t>
            </w:r>
          </w:p>
        </w:tc>
      </w:tr>
      <w:tr>
        <w:trPr>
          <w:trHeight w:val="27"/>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154,896</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156,408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Taxes on income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36,293</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28,150</w:t>
            </w:r>
          </w:p>
        </w:tc>
      </w:tr>
      <w:tr>
        <w:trPr>
          <w:trHeight w:val="27"/>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118,603</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128,258</w:t>
            </w:r>
          </w:p>
        </w:tc>
      </w:tr>
      <w:tr>
        <w:trPr>
          <w:trHeight w:val="223"/>
        </w:trPr>
        <w:tc>
          <w:tcPr>
            <w:tcW w:w="7620" w:type="dxa"/>
            <w:vAlign w:val="bottom"/>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(50,515)</w:t>
            </w: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(Losses) gains on derivatives qualifying as hedges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12,083</w:t>
            </w:r>
          </w:p>
        </w:tc>
      </w:tr>
      <w:tr>
        <w:trPr>
          <w:trHeight w:val="27"/>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(32,885)</w:t>
            </w:r>
          </w:p>
        </w:tc>
      </w:tr>
      <w:tr>
        <w:trPr>
          <w:trHeight w:val="27"/>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125,043</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95,373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79,666</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80,654</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80,055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81,195</w:t>
            </w:r>
          </w:p>
        </w:tc>
      </w:tr>
      <w:tr>
        <w:trPr>
          <w:trHeight w:val="27"/>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7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580" w:right="10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118,603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128,258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19,985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13,932</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loss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5,387</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(54,048)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(60,655)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(62,891)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13,172</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4,618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(27,675)</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10,456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12,585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assets/liabilities,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(21,881)</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31,615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31,476</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(19,381)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(17,931)</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(44,826)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(37,971)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revolving credit facility borrowings and overdrafts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Loss on pre-issuance hedges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8,597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339,279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(39,542)</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346,889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181,988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478,573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528,877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443,689</w:t>
            </w:r>
          </w:p>
        </w:tc>
      </w:tr>
      <w:tr>
        <w:trPr>
          <w:trHeight w:val="67"/>
        </w:trPr>
        <w:tc>
          <w:tcPr>
            <w:tcW w:w="77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20,729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19,697</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23,884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20,634</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2015 Annual Report on Form 10-K (“2015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March 31 and December 31 are used consistently throughout this Form 10-Q and these interim financial statements and related notes to represent the period-end dates. For the 2016 and 2015 quarters, the actual closing dates were April 1, and April 3,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 and Revisions</w:t>
      </w:r>
    </w:p>
    <w:p>
      <w:pPr>
        <w:spacing w:after="0" w:line="25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Certain prior year amounts have been reclassified to conform with current year presentation. In addition, an adjustment has been made to two line items within net cash provided by operating activities for 2015 to reflect the previously recorded correction of a balance sheet classification associated with accounts payable and accruals. The adjustment was not material to the consolidated statement of cash flows.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March 2016, the Financial Accounting Standards Board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will be effective for annual and interim periods beginning after December 15, 2016. Early adoption will be permitted for all entities. The Company is currently evaluating the impact that this new standard will have on its consolidated financial statements.</w:t>
      </w:r>
    </w:p>
    <w:p>
      <w:pPr>
        <w:spacing w:after="0" w:line="13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February 2016, the FASB issued authoritative guidance which requires changes to the accounting for leases. The new guidance establishes a new lease accounting model, that, for all companies, requires entities to record assets and liabilities related to leases on the balance sheet for certain types of leases. The guidance will be effective for annual and interim periods beginning after December 31, 2018. Early adoption will be permitted for all entities. The Company expects the adoption of this guidance will result in significant increases to assets and liabilities on its consolidated Balance Sheet.</w:t>
      </w:r>
    </w:p>
    <w:p>
      <w:pPr>
        <w:spacing w:after="0" w:line="10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May 2014, the FASB issued authoritative guidance to clarify the principles to be used to recognize revenue and made subsequent clarifications under the new requirements during March 2016. The guidance is applicable to all entities and is effective for annual and interim periods beginning after December 15, 2017. Adoption as of the original effective date is permitted. The Company is currently evaluating the impact that this new standard will have on its consolidated financial statements.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from operations from participating in these programs decreased approximately $4.7 million for the three months ended March 31, 2016 compared to a decrease of approximately $6.5 million for the three months ended March 31, 2015. The cost of participating in these programs was immaterial to our results in all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0"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79,666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80,654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541</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80,055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81,195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An immaterial amount of stock-settled appreciation rights (“SSARs”) were excluded from the computation of diluted net income per share for the three months ended March 31, 2016. There were no stock options or SSARs excluded from the 2015 period.</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has issued shares of purchased restricted common stock (“PRS”)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 shareholders was less than $0.01 per share for each period presented, and the number of PRS outstanding as of March 31, 2016 and 2015 was immaterial. Net income allocated to such PRS was $0.6 million during each of the three months ended March 31, 2016 and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Lucas Meyer</w:t>
      </w:r>
    </w:p>
    <w:p>
      <w:pPr>
        <w:spacing w:after="0" w:line="9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During the third quarter of 2015, the Company completed the acquisition of 100% of the outstanding shares of Lucas Meyer Cosmetics, a business of Unipex Group ("Lucas Meyer"). The total shares acquired include shares effectively acquired pursuant to put and call option agreements. The acquisition was accounted for under the purchase method. Total consideration was approximately Euro 284.0 million ($312.0 million), including approximately $4.8 million of cash acquired. The Company paid Euro 282.0 million (approximately $309.7 million, for this acquisition, which was funded from existing resources, and recorded a liability of approximately Euro 2.0 million (approximately $2.2 million). The purchase price exceeded the fair value of existing net assets by approximately $289.5 million. The excess was allocated principally to identifiable intangible assets (approximately $161.5 million), goodwill (approximately $186.8 million) and approximately $51.0 million to deferred taxes. Goodwill represents the excess of the purchase price over the fair value of net assets acquired. Separately identifiable intangible assets are principally related to customer relationships, proprietary technology and patents. The intangible assets are being amortized using lives ranging from 10-28 years. The purchase price allocation is preliminary pending final valuations of intangible assets, principally related to the valuation of customer relationships, allocation of asset values by legal entity and determination of useful lives.</w:t>
      </w:r>
    </w:p>
    <w:p>
      <w:pPr>
        <w:spacing w:after="0" w:line="11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No pro forma financial information for 2016 is presented as the impact of the acquisition was immaterial to the Consolidated Statement of Comprehensive Income. During the first quarter of 2016, the preliminary purchase price allocation was updated, however, none of the changes were material to the consolidated financial statements. The purchase price allocation is expected to be completed in the second quarter of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Ottens Flavors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second quarter of 2015, the Company completed the acquisition of 100% of the outstanding shares of Henry H. Ottens Manufacturing Co., Inc. ("Ottens Flavors"). The acquisition was accounted for under the purchase method. The Company paid $198.9 million (including $10.4 million of cash acquired) for this acquisition, which was funded from existing resources. The purchase price allocation was completed during the fourth quarter of 2015. The impact of the acquisition was not material to the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During the fourth quarter of 2015, the Company established a series of initiatives that are intended to streamline its management structure, simplify decision-making and accountability, better leverage and align its capabilities across the organization and improve efficiency of its global manufacturing and operations network. As a result, in the fourth quarter of 2015, the Company recorded a pre-tax charge of $7.6 million, included in restructuring and other charges, net, related to severance and related costs pertaining to approximately 150 positions that will be affected. During the first quarter of 2016, the Company made payments of $0.9 million and recorded accelerated depreciation expense of $0.1 million. The total cost of the plan is expected to be approximately $10 million with the remaining charges relating principally to accelerated depreciation. The Company expects the plan to be fully implemented in the second half of 2017.</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8" w:right="239" w:bottom="1440" w:gutter="0" w:footer="0" w:header="0"/>
        </w:sectPr>
      </w:pPr>
    </w:p>
    <w:bookmarkStart w:id="6" w:name="page7"/>
    <w:bookmarkEnd w:id="6"/>
    <w:p>
      <w:pPr>
        <w:ind w:left="420"/>
        <w:spacing w:after="0"/>
        <w:rPr>
          <w:sz w:val="20"/>
          <w:szCs w:val="20"/>
          <w:color w:val="auto"/>
        </w:rPr>
      </w:pPr>
      <w:r>
        <w:rPr>
          <w:rFonts w:ascii="Arial" w:cs="Arial" w:eastAsia="Arial" w:hAnsi="Arial"/>
          <w:sz w:val="16"/>
          <w:szCs w:val="16"/>
          <w:color w:val="auto"/>
        </w:rPr>
        <w:t>Changes in employee-related restructuring liabilities during the three months ended March 31, 2016, were as follows: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charges (reversals),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goodwill during 2016 were as follows:</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037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037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intangible assets, net consist of the following amounts:</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291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1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Employee-Related</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Accelerated</w:t>
            </w:r>
          </w:p>
        </w:tc>
        <w:tc>
          <w:tcPr>
            <w:tcW w:w="280" w:type="dxa"/>
            <w:vAlign w:val="bottom"/>
          </w:tcPr>
          <w:p>
            <w:pPr>
              <w:spacing w:after="0"/>
              <w:rPr>
                <w:sz w:val="18"/>
                <w:szCs w:val="18"/>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Costs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Depreciation</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2420"/>
        <w:spacing w:after="0"/>
        <w:tabs>
          <w:tab w:leader="none" w:pos="3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941,389</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6,812</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2,976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1515110</wp:posOffset>
            </wp:positionH>
            <wp:positionV relativeFrom="paragraph">
              <wp:posOffset>31750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57" w:lineRule="exact"/>
        <w:rPr>
          <w:sz w:val="20"/>
          <w:szCs w:val="20"/>
          <w:color w:val="auto"/>
        </w:rPr>
      </w:pPr>
    </w:p>
    <w:p>
      <w:pPr>
        <w:ind w:left="2420"/>
        <w:spacing w:after="0"/>
        <w:tabs>
          <w:tab w:leader="none" w:pos="3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951,177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1515110</wp:posOffset>
            </wp:positionH>
            <wp:positionV relativeFrom="paragraph">
              <wp:posOffset>31750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1515110</wp:posOffset>
            </wp:positionH>
            <wp:positionV relativeFrom="paragraph">
              <wp:posOffset>48895</wp:posOffset>
            </wp:positionV>
            <wp:extent cx="1037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40"/>
        <w:spacing w:after="0"/>
        <w:tabs>
          <w:tab w:leader="none" w:pos="286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1520"/>
        <w:spacing w:after="0"/>
        <w:tabs>
          <w:tab w:leader="none" w:pos="31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63" w:lineRule="exact"/>
        <w:rPr>
          <w:sz w:val="20"/>
          <w:szCs w:val="20"/>
          <w:color w:val="auto"/>
        </w:rPr>
      </w:pPr>
    </w:p>
    <w:p>
      <w:pPr>
        <w:sectPr>
          <w:pgSz w:w="11900" w:h="16838" w:orient="portrait"/>
          <w:cols w:equalWidth="0" w:num="2">
            <w:col w:w="6140" w:space="720"/>
            <w:col w:w="4560"/>
          </w:cols>
          <w:pgMar w:left="240" w:top="665" w:right="23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Cost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288,876</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293,799</w:t>
            </w:r>
          </w:p>
        </w:tc>
      </w:tr>
      <w:tr>
        <w:trPr>
          <w:trHeight w:val="27"/>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4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111,886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112,393</w:t>
            </w:r>
          </w:p>
        </w:tc>
      </w:tr>
      <w:tr>
        <w:trPr>
          <w:trHeight w:val="27"/>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22,711</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carrying value</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465,425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463,085</w:t>
            </w:r>
          </w:p>
        </w:tc>
      </w:tr>
      <w:tr>
        <w:trPr>
          <w:trHeight w:val="27"/>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(66,324)</w:t>
            </w:r>
          </w:p>
        </w:tc>
      </w:tr>
      <w:tr>
        <w:trPr>
          <w:trHeight w:val="27"/>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(65,258)</w:t>
            </w:r>
          </w:p>
        </w:tc>
      </w:tr>
      <w:tr>
        <w:trPr>
          <w:trHeight w:val="27"/>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accumulated amortization</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(163,337)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(157,081)</w:t>
            </w:r>
          </w:p>
        </w:tc>
      </w:tr>
      <w:tr>
        <w:trPr>
          <w:trHeight w:val="27"/>
        </w:trPr>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6"/>
        </w:trPr>
        <w:tc>
          <w:tcPr>
            <w:tcW w:w="77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302,088</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306,004</w:t>
            </w:r>
          </w:p>
        </w:tc>
      </w:tr>
      <w:tr>
        <w:trPr>
          <w:trHeight w:val="27"/>
        </w:trPr>
        <w:tc>
          <w:tcPr>
            <w:tcW w:w="7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Amortization expense was $6.1 million and $1.8 million for the three months ended March 31, 2016 and 2015, respectively. Annual amortization is expected to be $23.1 million for the full year 2016, $22.5 million for the year 2017, $21.9 million for the year 2018, $20.5 million for the year 2019, $19.8 million for the year 2020 and $15.6 million for the year 2021.</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Maturities</w:t>
            </w: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- 2006</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Senior notes - 2007</w:t>
            </w: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299,809</w:t>
            </w: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 Senior notes - 2016 </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561,070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131,196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10,909</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3,279</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1,503,647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1,070,193</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(132,349)</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1,369,955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937,844</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Amount is net of unamortized discount and debt issuance costs.</w:t>
      </w:r>
    </w:p>
    <w:p>
      <w:pPr>
        <w:spacing w:after="0" w:line="148" w:lineRule="exact"/>
        <w:rPr>
          <w:sz w:val="20"/>
          <w:szCs w:val="20"/>
          <w:color w:val="auto"/>
        </w:rPr>
      </w:pPr>
    </w:p>
    <w:p>
      <w:pPr>
        <w:ind w:right="320" w:firstLine="405"/>
        <w:spacing w:after="0" w:line="291" w:lineRule="auto"/>
        <w:rPr>
          <w:sz w:val="20"/>
          <w:szCs w:val="20"/>
          <w:color w:val="auto"/>
        </w:rPr>
      </w:pPr>
      <w:r>
        <w:rPr>
          <w:rFonts w:ascii="Arial" w:cs="Arial" w:eastAsia="Arial" w:hAnsi="Arial"/>
          <w:sz w:val="16"/>
          <w:szCs w:val="16"/>
          <w:color w:val="auto"/>
        </w:rPr>
        <w:t>On March 14, 2016, the Company issued Euro 500.0 million ($556.6 million) face amount of 1.75% Senior Notes ("Euro Senior Notes - 2016") due 2024 at a discount of Euro 0.9 million ($1.0 million). The Company received proceeds related to the issuance of these Euro Senior Notes - 2016 of Euro</w:t>
      </w:r>
    </w:p>
    <w:p>
      <w:pPr>
        <w:ind w:right="20"/>
        <w:spacing w:after="0" w:line="270" w:lineRule="auto"/>
        <w:rPr>
          <w:sz w:val="20"/>
          <w:szCs w:val="20"/>
          <w:color w:val="auto"/>
        </w:rPr>
      </w:pPr>
      <w:r>
        <w:rPr>
          <w:rFonts w:ascii="Arial" w:cs="Arial" w:eastAsia="Arial" w:hAnsi="Arial"/>
          <w:sz w:val="17"/>
          <w:szCs w:val="17"/>
          <w:color w:val="auto"/>
        </w:rPr>
        <w:t>496.0 million ($552.1 million) which was net of the $1.0 million discount and Euro 3.1 million ($3.5 million) underwriting discount (recorded as deferred financing costs). In addition, the Company incurred $1.3 million of other deferred financing costs in connection with the expected debt issuance. In connection with the debt issuance, the Company entered into pre-issuance hedging transactions which were settled upon issuance of the debt resulted in a loss of approximately $3.2 million as of March 31, 2016. The discount, deferred financing costs and pre-issuance hedge loss are being amortized as interest expense over the 8 year term of the debt. The Euro Senior Notes - 2016 bear interest at a rate of 1.75% per annum, with interest payable on March 14 of each year, commencing on March 14, 2017. The Euro Senior Notes - 2016 will mature on March 14, 2024.</w:t>
      </w:r>
    </w:p>
    <w:p>
      <w:pPr>
        <w:spacing w:after="0" w:line="1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Upon 30 days’ notice to holders of the Euro Senior Notes - 2016 , the Company may redeem the Euro Senior Notes - 2016 for cash in whole, at any time, or in part, from time to time, prior to maturity, at redemption prices that include accrued and unpaid interest and a make-whole premium, as specified in the Indenture. However, no make-whole premium will be paid for redemptions of the Euro Senior Notes - 2016 on or after December 14, 2023. The Indenture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Euro Senior Notes - 2016 below investment grade rating by both Moody’s Investors Services, Inc. and Standard &amp; Poor’s Ratings Services within a specified time period, the Company will be required to make an offer to repurchase the Notes at a price equal to 101% of the principal amount of the Euro Senior Notes - 2016, plus accrued and unpaid interest to the date of repurchase.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first quarter of 2016, the Company repaid the full amount outstanding under the credit facility ($131.2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March 31, 2016, the Company had $22.5 million of unrecognized tax benefits recorded in Other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2016, the Company had accrued interest and penalties of $0.8 million classified in Other liabilities.</w:t>
      </w:r>
    </w:p>
    <w:p>
      <w:pPr>
        <w:spacing w:after="0" w:line="17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of March 31, 2016, the Company’s aggregate provisions for uncertain tax positions, including interest and penalties, was $23.3 million associated with various tax positions asserted in foreign jurisdictions, none of which is individually material.</w:t>
      </w:r>
    </w:p>
    <w:p>
      <w:pPr>
        <w:spacing w:after="0" w:line="116"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most significant items are discussed below. In addition, the Company has open tax years with</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23" w:right="259" w:bottom="1440" w:gutter="0" w:footer="0" w:header="0"/>
        </w:sectPr>
      </w:pPr>
    </w:p>
    <w:bookmarkStart w:id="8" w:name="page9"/>
    <w:bookmarkEnd w:id="8"/>
    <w:p>
      <w:pPr>
        <w:ind w:right="120"/>
        <w:spacing w:after="0" w:line="308" w:lineRule="auto"/>
        <w:rPr>
          <w:sz w:val="20"/>
          <w:szCs w:val="20"/>
          <w:color w:val="auto"/>
        </w:rPr>
      </w:pPr>
      <w:r>
        <w:rPr>
          <w:rFonts w:ascii="Arial" w:cs="Arial" w:eastAsia="Arial" w:hAnsi="Arial"/>
          <w:sz w:val="17"/>
          <w:szCs w:val="17"/>
          <w:color w:val="auto"/>
        </w:rPr>
        <w:t>various taxing jurisdictions that range primarily from 2006 to 2015. Based on currently available information, we do not believe the ultimate outcome of any of these tax audits and other tax positions related to open tax years, when finalized, will have a material impact on our financial position.</w:t>
      </w:r>
    </w:p>
    <w:p>
      <w:pPr>
        <w:spacing w:after="0" w:line="9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capital tax,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effective tax rate for the three months ended March 31, 2016 was 23.4% compared with 18.0% for the three months ended March 31, 2015. The quarter-over-quarter increase is largely due to a benefit of $10.5 million recorded in the first quarter of 2015, as a result of favorable tax rulings in Spain and another jurisdiction for which reserves were previously recorded, which was partially offset by lower cost of repatriation, lower loss provisions and favorable mix of earnings in the first quarter of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has various plans under which its officers, senior management, other key employees and directors may be granted equity-based awards. Equity awards outstanding under the plans include PRS, purchased restricted stock units, restricted stock units ("RSUs"), stock options, SSARs and Long-Term Incentive Plan awards; liability-based awards outstanding under the plans are cash-settled RSUs.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3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1,907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372,508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377,108</w:t>
            </w:r>
          </w:p>
        </w:tc>
      </w:tr>
      <w:tr>
        <w:trPr>
          <w:trHeight w:val="27"/>
        </w:trPr>
        <w:tc>
          <w:tcPr>
            <w:tcW w:w="7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397,799</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783,312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774,907</w:t>
            </w:r>
          </w:p>
        </w:tc>
      </w:tr>
      <w:tr>
        <w:trPr>
          <w:trHeight w:val="67"/>
        </w:trPr>
        <w:tc>
          <w:tcPr>
            <w:tcW w:w="7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91,813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92,727</w:t>
            </w:r>
          </w:p>
        </w:tc>
      </w:tr>
      <w:tr>
        <w:trPr>
          <w:trHeight w:val="27"/>
        </w:trPr>
        <w:tc>
          <w:tcPr>
            <w:tcW w:w="7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81,598</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(11,564)</w:t>
            </w:r>
          </w:p>
        </w:tc>
      </w:tr>
      <w:tr>
        <w:trPr>
          <w:trHeight w:val="27"/>
        </w:trPr>
        <w:tc>
          <w:tcPr>
            <w:tcW w:w="7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and other charges, net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7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 and related costs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7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70"/>
        </w:trPr>
        <w:tc>
          <w:tcPr>
            <w:tcW w:w="77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Spanish capital tax settlement </w:t>
            </w:r>
            <w:r>
              <w:rPr>
                <w:rFonts w:ascii="Arial" w:cs="Arial" w:eastAsia="Arial" w:hAnsi="Arial"/>
                <w:sz w:val="25"/>
                <w:szCs w:val="25"/>
                <w:color w:val="auto"/>
                <w:vertAlign w:val="superscript"/>
              </w:rPr>
              <w:t>(4)</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161,793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(11,095)</w:t>
            </w:r>
          </w:p>
        </w:tc>
      </w:tr>
      <w:tr>
        <w:trPr>
          <w:trHeight w:val="27"/>
        </w:trPr>
        <w:tc>
          <w:tcPr>
            <w:tcW w:w="7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5,710</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154,896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156,408</w:t>
            </w: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and other charges, net relate to accelerated depreciation costs in Europe recorded in Cost of goods sold.</w:t>
      </w:r>
    </w:p>
    <w:p>
      <w:pPr>
        <w:spacing w:after="0" w:line="23"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related costs are associated with the 2015 acquisition of Lucas Meyer as discussed in Note 3, including inventory step-up charges related to the inventory acquired.</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accelerated depreciation costs in Asia in both the 2016 and 2015 periods.</w:t>
      </w:r>
    </w:p>
    <w:p>
      <w:pPr>
        <w:spacing w:after="0" w:line="9" w:lineRule="exact"/>
        <w:rPr>
          <w:rFonts w:ascii="Arial" w:cs="Arial" w:eastAsia="Arial" w:hAnsi="Arial"/>
          <w:sz w:val="18"/>
          <w:szCs w:val="18"/>
          <w:color w:val="auto"/>
        </w:rPr>
      </w:pPr>
    </w:p>
    <w:p>
      <w:pPr>
        <w:ind w:left="340" w:right="12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Spanish capital tax settlement represents interest received from the Spanish government related to the reversal of the unfavorable ruling the Spanish capital tax case from 2002, which was reversed during the year ended December 31, 2015.</w:t>
      </w:r>
    </w:p>
    <w:p>
      <w:pPr>
        <w:spacing w:after="0" w:line="13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three months ended March 31, 2016 and 2015 were $180.4 million and $163.6 million, respectively. Net sales attributed to all foreign countries in total for the three months ended March 31, 2016 and 2015 were $602.9 million and $611.3 million, respectively. No country other than the U.S. had net sales in any period presented greater than 10% of total consolidated net sales.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2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5,953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5,203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2,135</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46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6,392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3,486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due to settlements and special terminations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2,906</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05"/>
        <w:spacing w:after="0" w:line="286" w:lineRule="auto"/>
        <w:rPr>
          <w:sz w:val="20"/>
          <w:szCs w:val="20"/>
          <w:color w:val="auto"/>
        </w:rPr>
      </w:pPr>
      <w:r>
        <w:rPr>
          <w:rFonts w:ascii="Arial" w:cs="Arial" w:eastAsia="Arial" w:hAnsi="Arial"/>
          <w:sz w:val="17"/>
          <w:szCs w:val="17"/>
          <w:color w:val="auto"/>
        </w:rPr>
        <w:t>The Company expects to contribute a total of approximately $24 million to its non-U.S. pension plans during 2016. During the three months ended March 31, 2016, there were no contributions made to the qualified U.S. pension plans. In the three months ended March 31, 2016, $6.3 million of contributions were made to the non-U.S. plans and $1.1 million of contributions were made to the U.S. non-qualified plans.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postretirement benefit expense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671</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2016. In the three months ended March 31, 2016, $1.3 million of contributions were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2015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March 31, 2016.</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March 31, 2016 and December 31, 2015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2016</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520" w:type="dxa"/>
            <w:vAlign w:val="bottom"/>
          </w:tcPr>
          <w:p>
            <w:pPr>
              <w:spacing w:after="0"/>
              <w:rPr>
                <w:sz w:val="19"/>
                <w:szCs w:val="19"/>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52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528,877</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528,877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181,988</w:t>
            </w:r>
          </w:p>
        </w:tc>
        <w:tc>
          <w:tcPr>
            <w:tcW w:w="10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181,988</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14,965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142,105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142,105</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127,717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572,663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563,855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299,816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290,830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- 2016</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561,070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578,271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During the three months ended March 31, 2016 and the year ended December 31, 2015,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There were no maturities of these forward currency contracts during the three months ended March 31, 2016.</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three months ended March 31, 2016 and the year ended December 31, 2015,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jc w:val="both"/>
        <w:ind w:right="160" w:firstLine="405"/>
        <w:spacing w:after="0" w:line="264" w:lineRule="auto"/>
        <w:rPr>
          <w:sz w:val="20"/>
          <w:szCs w:val="20"/>
          <w:color w:val="auto"/>
        </w:rPr>
      </w:pPr>
      <w:r>
        <w:rPr>
          <w:rFonts w:ascii="Arial" w:cs="Arial" w:eastAsia="Arial" w:hAnsi="Arial"/>
          <w:sz w:val="18"/>
          <w:szCs w:val="18"/>
          <w:color w:val="auto"/>
        </w:rPr>
        <w:t>During 2015 and 2014, the Company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months ended March 31, 2016.</w:t>
      </w:r>
    </w:p>
    <w:p>
      <w:pPr>
        <w:spacing w:after="0" w:line="12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 of Comprehensive Income. The Company incurred a loss of Euro 2.9 million ($3.2 million) due to the termination of these swaps. The loss will be amortized as interest expense over the life of the Euro Senior Notes - 2016 as discussed in Note 6.</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March 31, 2016 and December 31,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2015</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256,200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775,000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775,000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March 31, 2016 and December 31,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2016</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8,944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332"/>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months ended March 31, 2016 and 2015 (in thousands):</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w w:val="94"/>
              </w:rPr>
              <w:t>Amount of Gain (Loss)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700" w:type="dxa"/>
            <w:vAlign w:val="bottom"/>
            <w:gridSpan w:val="4"/>
          </w:tcPr>
          <w:p>
            <w:pPr>
              <w:jc w:val="center"/>
              <w:ind w:left="52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5"/>
              </w:rPr>
              <w:t>Derivative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700" w:type="dxa"/>
            <w:vAlign w:val="bottom"/>
            <w:gridSpan w:val="4"/>
          </w:tcPr>
          <w:p>
            <w:pPr>
              <w:jc w:val="center"/>
              <w:ind w:left="524"/>
              <w:spacing w:after="0"/>
              <w:rPr>
                <w:sz w:val="20"/>
                <w:szCs w:val="20"/>
                <w:color w:val="auto"/>
              </w:rPr>
            </w:pPr>
            <w:r>
              <w:rPr>
                <w:rFonts w:ascii="Arial" w:cs="Arial" w:eastAsia="Arial" w:hAnsi="Arial"/>
                <w:sz w:val="14"/>
                <w:szCs w:val="14"/>
                <w:b w:val="1"/>
                <w:bCs w:val="1"/>
                <w:color w:val="auto"/>
                <w:w w:val="95"/>
              </w:rPr>
              <w:t>Three Months Ended March 31,</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9,704   Other expense (income),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months ended March 31, 2016 and 2015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vMerge w:val="restart"/>
          </w:tcPr>
          <w:p>
            <w:pPr>
              <w:jc w:val="center"/>
              <w:ind w:left="440"/>
              <w:spacing w:after="0"/>
              <w:rPr>
                <w:sz w:val="20"/>
                <w:szCs w:val="20"/>
                <w:color w:val="auto"/>
              </w:rPr>
            </w:pPr>
            <w:r>
              <w:rPr>
                <w:rFonts w:ascii="Arial" w:cs="Arial" w:eastAsia="Arial" w:hAnsi="Arial"/>
                <w:sz w:val="14"/>
                <w:szCs w:val="14"/>
                <w:b w:val="1"/>
                <w:bCs w:val="1"/>
                <w:color w:val="auto"/>
                <w:w w:val="92"/>
              </w:rPr>
              <w:t>Amount of (Loss) Gain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w w:val="94"/>
              </w:rPr>
              <w:t>Amount of (Loss) Gain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center"/>
              <w:ind w:left="459"/>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6"/>
              </w:rPr>
              <w:t>Portion)</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860" w:type="dxa"/>
            <w:vAlign w:val="bottom"/>
            <w:tcBorders>
              <w:top w:val="single" w:sz="8" w:color="auto"/>
            </w:tcBorders>
            <w:gridSpan w:val="4"/>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840" w:type="dxa"/>
            <w:vAlign w:val="bottom"/>
            <w:tcBorders>
              <w:top w:val="single" w:sz="8" w:color="auto"/>
            </w:tcBorders>
            <w:gridSpan w:val="5"/>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(7,003)</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12,014</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2,616</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4,561</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(12,582)</w:t>
            </w:r>
          </w:p>
        </w:tc>
        <w:tc>
          <w:tcPr>
            <w:tcW w:w="1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2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w:t>
      </w:r>
    </w:p>
    <w:p>
      <w:pPr>
        <w:spacing w:after="0" w:line="22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No ineffectiveness was experienced in the above noted cash flow hedges during the three months ended March 31, 2016 and 2015. The ineffective portion of the net investment hedges was not material during the three months ended March 31, 2016 and 2015.</w:t>
      </w:r>
    </w:p>
    <w:p>
      <w:pPr>
        <w:spacing w:after="0" w:line="116"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Company expects that approximately $3.0 million (net of tax) of derivative gains included in AOCI at March 31, 2016, based on current market rates, will be reclassified into earnings within the next 12 months. The majority of this amount will vary due to fluctuations in foreign currency exchange rates.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5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(613,439)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14,077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14,077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(283,421)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(322,787)</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(606,999)</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13,037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12,083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(223,857)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24,454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(373,912)</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(573,315)</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provides details about reclassifications out of accumulated other comprehensive income to the Consolidated Statement of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Three Months Ended March</w:t>
            </w:r>
          </w:p>
        </w:tc>
        <w:tc>
          <w:tcPr>
            <w:tcW w:w="140" w:type="dxa"/>
            <w:vAlign w:val="bottom"/>
          </w:tcPr>
          <w:p>
            <w:pPr>
              <w:spacing w:after="0"/>
              <w:rPr>
                <w:sz w:val="14"/>
                <w:szCs w:val="14"/>
                <w:color w:val="auto"/>
              </w:rPr>
            </w:pPr>
          </w:p>
        </w:tc>
        <w:tc>
          <w:tcPr>
            <w:tcW w:w="1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31, 2016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4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(Losses) gains on pension and postretirement liability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(9,144)</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14 of our 2015 Form 10-K for additional information regarding net periodic benefit cost.</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2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At March 31, 2016, we had total bank guarantees and standby letters of credit of approximately $40 million with various financial institutions. Included in the above aggregate amount is a total of $14.4 million in bank guarantees which the Company has posted for certain assessments in Brazil for other diverse income tax and indirect tax disputes related to fiscal years 1998-2011. There were no material amounts utilized under the standby letters of credit as of March 31, 2016.</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$12.0 million as of March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At March 31, 2016, we had available lines of credit (in addition to the Credit Facility discussed in Note 8 of our 2015 Form 10-K) of approximately $72.4 million with various financial institutions. There were no significant amounts drawn down pursuant to these lines of credit as of March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jc w:val="both"/>
        <w:ind w:right="40"/>
        <w:spacing w:after="0" w:line="255"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90"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2015, the Company was notified by Chinese authorities of compliance issues pertaining to the emission of odors from several of its plants in China. As a result, the Company's Flavors facility in China was temporarily idled. Accordingly, the Company invested approximately $6.5 million in odor-abatement equipment at these facilities to address these issues.</w:t>
      </w:r>
    </w:p>
    <w:p>
      <w:pPr>
        <w:spacing w:after="0" w:line="46"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has received a request from the Chinese government to relocate its Fragrance Ingredients plant in Zhejiang, China. The Company has made investments in the Ingredients plant to comply with applicable regulations and would prefer to remain at the existing site. The Company is in discussions with the government regarding the intent, purpose and timing of the requested relocation. If we were ultimately required to move, the Company and government authorities would need to agree upon the amount and nature of government compensation. Depending upon the outcome of these discussions, we may be required, at some point, to adjust depreciation or the carrying value of the current site. The current site amounts to less than 5% of property, plant and equipment,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$26.4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early 2017.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Based on the information available as of March 31, 2016, we estimate a range of reasonably possible loss related to the matters above, collectively, is $0-$31 million.</w:t>
      </w:r>
    </w:p>
    <w:p>
      <w:pPr>
        <w:spacing w:after="0" w:line="11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Separately, the Spanish tax authorities alleged claims for a capital tax,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have reversed the previously recorded provision of Euro 9.8 million ($10.5 million) for the year ended December 31, 2015. During the first quarter of 2016, we recorded additional income of $1.4 million related to amounts expected to be received from the authorities. This amount has been reflected as a reduction of administrative expense.</w:t>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create, manufacture and supply flavors and fragrances (including cosmetic active ingredients) that are used in the food, beverage, personal care and household products industries either in the form of compounds or individual ingredients, including cosmetic active ingredients. Our flavors and fragrance compounds combine a number of ingredients that are blended, mixed or reacted together to produce proprietary formulas created by our flavorists and perfumers.</w:t>
      </w:r>
    </w:p>
    <w:p>
      <w:pPr>
        <w:spacing w:after="0" w:line="13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Flavors are the key building blocks that impart taste experiences in food and beverage products and, as such, play a significant role in determining consumer preference of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 (3) Sweet and (4) Dairy.</w:t>
      </w:r>
    </w:p>
    <w:p>
      <w:pPr>
        <w:spacing w:after="0" w:line="13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231F20"/>
        </w:rPr>
        <w:t xml:space="preserve">We are a global leader in the creation of fragrance compounds that are integral elements in </w:t>
      </w:r>
      <w:r>
        <w:rPr>
          <w:rFonts w:ascii="Arial" w:cs="Arial" w:eastAsia="Arial" w:hAnsi="Arial"/>
          <w:sz w:val="16"/>
          <w:szCs w:val="16"/>
          <w:color w:val="000000"/>
        </w:rPr>
        <w:t>the world’s finest perfumes and best-known consumer</w:t>
      </w:r>
      <w:r>
        <w:rPr>
          <w:rFonts w:ascii="Arial" w:cs="Arial" w:eastAsia="Arial" w:hAnsi="Arial"/>
          <w:sz w:val="16"/>
          <w:szCs w:val="16"/>
          <w:color w:val="231F20"/>
        </w:rPr>
        <w:t xml:space="preserve"> </w:t>
      </w:r>
      <w:r>
        <w:rPr>
          <w:rFonts w:ascii="Arial" w:cs="Arial" w:eastAsia="Arial" w:hAnsi="Arial"/>
          <w:sz w:val="16"/>
          <w:szCs w:val="16"/>
          <w:color w:val="000000"/>
        </w:rPr>
        <w:t>products, within fabric care, home care, personal wash, hair care and toiletries products. Our Fragrances business consists of Fragrance Compounds and Fragrance Ingredients. Our Fragrance Compounds are defined into broad categories, (1) Fine Fragrances and (2) Consumer Fragrances. Consumer Fragrances consists of five end-use categories of products: (1) Fabric Care, (2) Home Care, (3) Personal Wash, (4) Hair Care and (5) Toiletries. In addition, Fragrance Ingredients, that are used internally and sold to third parties, including customers and competitors, for use in preparation of compounds, and cosmetic active ingredients, which consist of active and functional ingredients, are included in the Fragrances business unit.</w:t>
      </w:r>
    </w:p>
    <w:p>
      <w:pPr>
        <w:spacing w:after="0" w:line="11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The flavors and fragrances market is part of a larger market which supplies a wide variety of ingredients and compounds that are used in consumer products. The broader market includes large multinational companies or smaller regional and local participants which supply products such as seasonings, texturizers, spices, enzymes, certain food-related commodities, fortified products and cosmetic active ingredients. </w:t>
      </w:r>
      <w:r>
        <w:rPr>
          <w:rFonts w:ascii="Arial" w:cs="Arial" w:eastAsia="Arial" w:hAnsi="Arial"/>
          <w:sz w:val="17"/>
          <w:szCs w:val="17"/>
          <w:color w:val="231F20"/>
        </w:rPr>
        <w:t>The global market for flavors and</w:t>
      </w:r>
      <w:r>
        <w:rPr>
          <w:rFonts w:ascii="Arial" w:cs="Arial" w:eastAsia="Arial" w:hAnsi="Arial"/>
          <w:sz w:val="17"/>
          <w:szCs w:val="17"/>
          <w:color w:val="auto"/>
        </w:rPr>
        <w:t xml:space="preserve"> </w:t>
      </w:r>
      <w:r>
        <w:rPr>
          <w:rFonts w:ascii="Arial" w:cs="Arial" w:eastAsia="Arial" w:hAnsi="Arial"/>
          <w:sz w:val="17"/>
          <w:szCs w:val="17"/>
          <w:color w:val="231F20"/>
        </w:rPr>
        <w:t xml:space="preserve">fragrances has expanded consistently, primarily as a result of an increase in demand for, as well as an increase in the variety of, consumer products containing flavors and fragrances. </w:t>
      </w:r>
      <w:r>
        <w:rPr>
          <w:rFonts w:ascii="Arial" w:cs="Arial" w:eastAsia="Arial" w:hAnsi="Arial"/>
          <w:sz w:val="17"/>
          <w:szCs w:val="17"/>
          <w:color w:val="000000"/>
        </w:rPr>
        <w:t>In 2014, the flavors and fragrances market, in which we compete, was estimated by management to be at least $18 billion and is</w:t>
      </w:r>
      <w:r>
        <w:rPr>
          <w:rFonts w:ascii="Arial" w:cs="Arial" w:eastAsia="Arial" w:hAnsi="Arial"/>
          <w:sz w:val="17"/>
          <w:szCs w:val="17"/>
          <w:color w:val="231F20"/>
        </w:rPr>
        <w:t xml:space="preserve"> </w:t>
      </w:r>
      <w:r>
        <w:rPr>
          <w:rFonts w:ascii="Arial" w:cs="Arial" w:eastAsia="Arial" w:hAnsi="Arial"/>
          <w:sz w:val="17"/>
          <w:szCs w:val="17"/>
          <w:color w:val="000000"/>
        </w:rPr>
        <w:t xml:space="preserve">forecasted to grow to approximately $21.6 billion by 2019, primarily driven by expected growth in emerging markets; however the exact size of the global market is not available due to fragmentation of data. </w:t>
      </w:r>
      <w:r>
        <w:rPr>
          <w:rFonts w:ascii="Arial" w:cs="Arial" w:eastAsia="Arial" w:hAnsi="Arial"/>
          <w:sz w:val="17"/>
          <w:szCs w:val="17"/>
          <w:color w:val="231F20"/>
        </w:rPr>
        <w:t>We estimate the market size for cosmetic active ingredients to be approximately $1.5 billion as of 2015.</w:t>
      </w:r>
      <w:r>
        <w:rPr>
          <w:rFonts w:ascii="Arial" w:cs="Arial" w:eastAsia="Arial" w:hAnsi="Arial"/>
          <w:sz w:val="17"/>
          <w:szCs w:val="17"/>
          <w:color w:val="000000"/>
        </w:rPr>
        <w:t xml:space="preserve"> We, together with the other top three companies, are estimated to represent approximately two-thirds of the total estimated sales in the global flavors and fragrances sub-segment of the broader market.</w:t>
      </w:r>
    </w:p>
    <w:p>
      <w:pPr>
        <w:spacing w:after="0" w:line="128" w:lineRule="exact"/>
        <w:rPr>
          <w:sz w:val="20"/>
          <w:szCs w:val="20"/>
          <w:color w:val="auto"/>
        </w:rPr>
      </w:pPr>
    </w:p>
    <w:p>
      <w:pPr>
        <w:jc w:val="both"/>
        <w:ind w:right="280" w:firstLine="405"/>
        <w:spacing w:after="0" w:line="342" w:lineRule="auto"/>
        <w:rPr>
          <w:sz w:val="20"/>
          <w:szCs w:val="20"/>
          <w:color w:val="auto"/>
        </w:rPr>
      </w:pPr>
      <w:r>
        <w:rPr>
          <w:rFonts w:ascii="Arial" w:cs="Arial" w:eastAsia="Arial" w:hAnsi="Arial"/>
          <w:sz w:val="16"/>
          <w:szCs w:val="16"/>
          <w:color w:val="auto"/>
        </w:rPr>
        <w:t>During the second quarter of 2015, we completed the acquisition of Ottens Flavors, and in the third quarter of 2015, we completed the acquisition of Lucas Meyer. The acquisitions did not have a material impact on our consolidated statement of comprehensive income either individually or in aggregate.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Overview</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sales during the first quarter of 2016 increased 1% on a reported basis and 6% on a currency neutral basis (which excludes the effects of changes in currency), with the effects of acquisitions contributing approximately 4% to both reported and currency neutral basis growth rates. The currency neutral growth of 2%, excluding acquisitions, reflects new win performance (net of losses) in Fragrance Compounds and Flavors and lower volume erosion on existing business in Fragrance Compounds.</w:t>
      </w:r>
    </w:p>
    <w:p>
      <w:pPr>
        <w:spacing w:after="0" w:line="13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Exchange rate fluctuations had a 500 basis point (bps) unfavorable impact on net sales for the first quarter, driven mainly by the weakening of the Euro against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Gross margins increased year-over-year to 46.0% in the first quarter of 2016 from 44.7% in the 2015 period driven primarily by volume growth, the benefits of productivity initiatives and the contribution of acquisitions. Included in the first quarter of 2016 was $1.3 million of acquisition related costs and costs associated with accelerated depreciation, compared to $0.3 million of costs associated with operational improvement initiatives included in the first quarter of 2015. Excluding these items, gross margin increased 140 bps compared to the prior year period. The overall raw material cost base is essentially benign</w:t>
      </w: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0" w:right="279" w:bottom="1440" w:gutter="0" w:footer="0" w:header="0"/>
        </w:sectPr>
      </w:pPr>
    </w:p>
    <w:bookmarkStart w:id="18" w:name="page19"/>
    <w:bookmarkEnd w:id="18"/>
    <w:p>
      <w:pPr>
        <w:ind w:right="520" w:firstLine="8"/>
        <w:spacing w:after="0" w:line="264" w:lineRule="auto"/>
        <w:tabs>
          <w:tab w:leader="none" w:pos="9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believe that we will continue to see higher prices on certain categories (such as naturals including citrus and vanilla) that will be offset by benefits associated with oil-based derivatives that are expected to continue in 2016. We continue to seek improvements in our margins through operational performance, cost reduction efforts and mix enhancement.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Reported sales in the first quarter of 2016 increased approximately 1%. In currency neutral terms, sales increased 6%, reflecting new win performance in both Fragrance Compounds and Flavors, lower volume erosion on existing business in Fragrance Compounds and the effect of acquisitions (which added approximately 4% to both reported and currency neutral basis amounts). We continue to benefit from our diverse portfolio of end-use product categories and geographies and had currency neutral growth in all four of our regions and all four of our end-use product categories. Flavors realized currency neutral growth of 4% for the first quarter of 2016, which was driven entirely by the inclusion of acquisitions. Our Fragrance business achieved currency neutral growth of 8%, with approximately half of the growth coming from acquisitions. Fragrances growth principally reflects strong growth within Fragrance Ingredients, which was driven entirely by the inclusion of acquisitions. Overall, our first quarter 2016 results include 6% from developed markets and 5% from emerging markets which each represented 50% of currency neutral sales. From a geographic perspective, for the first quarter, North America (NOAM), Europe, Africa and the Middle East (EAME), Latin America (LA) and Greater Asia (GA) all delivered currency neutral growth in 2016, led by NOAM with 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Operating profit increased $5.4 million to $167.2 million (21.3% of sales) in the 2016 first quarter compared to $161.8 million (20.9% of sales) in the comparable 2015 period. The three months ended March 31, 2016 included less than $0.1 million consisting of acquisition-related, restructuring and operational improvement costs offset by additional income related the Spanish capital tax settlement, compared to $1.0 million of acquisition-related, restructuring and operational improvement initiative costs in the prior year period. Excluding these charges, adjusted operating profit remained consistent at $167.2 million (21.3% of sales) for the first quarter of 2016 compared to $162.8 million (21.0% of sales) for the first quarter of 2015. Foreign currency changes had an unfavorable impact on operating profit of approximately 4% and 7% in the 2016 and 2015 periods,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income, net decreased $5.5 million to $0.2 million of income in the first quarter of 2016 compared to $5.7 million of income in the first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The year-over-year decrease is primarily driven by lower foreign exchange gains on working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income decreased by $9.7 million quarter-over-quarter to $118.6 million for the first quarter of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Cash flows from operations for the three months ended March 31, 2016 were $31.6 million or 4.0% of sales, compared to cash inflow from operations of $31.5 million or 4.1% of sales for the three months ended March 31, 2015. Included in cash flow from operations in 2016 were increased core working capital requirements (trade receivables, inventories and accounts payable) offset by lower pension contributions than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9"/>
        </w:trPr>
        <w:tc>
          <w:tcPr>
            <w:tcW w:w="7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11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EXCEPT PER SHARE AMOUNTS)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783,312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774,907</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423,103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428,630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360,209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346,277</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34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63,385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63,462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118,995</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4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167,220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161,793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156,408</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Taxes on income</w:t>
            </w:r>
          </w:p>
        </w:tc>
        <w:tc>
          <w:tcPr>
            <w:tcW w:w="34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36,293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128,258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Diluted EPS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gridSpan w:val="3"/>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R&amp;D as a percentage of sales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S&amp;A as a percentage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21.0%</w:t>
            </w: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4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Flavors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372,508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377,108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Fragrances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410,804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397,799</w:t>
            </w:r>
          </w:p>
        </w:tc>
        <w:tc>
          <w:tcPr>
            <w:tcW w:w="0" w:type="dxa"/>
            <w:vAlign w:val="bottom"/>
          </w:tcPr>
          <w:p>
            <w:pPr>
              <w:spacing w:after="0"/>
              <w:rPr>
                <w:sz w:val="1"/>
                <w:szCs w:val="1"/>
                <w:color w:val="auto"/>
              </w:rPr>
            </w:pPr>
          </w:p>
        </w:tc>
      </w:tr>
      <w:tr>
        <w:trPr>
          <w:trHeight w:val="237"/>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783,312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774,907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40" w:right="60" w:hanging="316"/>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margin excludes less than $0.1 million consisting of acquisition-related, restructuring and operational improvement costs offset by additional income related the Spanish capital tax settlement for the three months ended March 31, 2016 and excludes $1.0 million acquisition-related, restructuring and operational improvement initiative costs for the three months ended March 31, 2015.</w:t>
      </w:r>
    </w:p>
    <w:p>
      <w:pPr>
        <w:spacing w:after="0" w:line="12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2016 IN COMPARISON TO FIRST QUARTER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4"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Sales for the first quarter of 2016 totaled $783.3 million, an increase of 1% from the prior year quarter. On a currency neutral basis sales increased 6%, as a result of new win performance in both Fragrance Compounds and Flavors, in addition to strong growth in Fragrance Ingredients, driven by the impact of acquisitions and lower volume erosion on existing business in Fragrance Compounds. On both a reported and currency neutral basis, the effect of acquisitions was approximately 4% to net sales amounts. Overall organic currency neutral growth included 4% from emerging markets.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Flavors reported sales declined 1% from the prior year period while currency neutral sales increased 4% during the first quarter of 2016 compared to the</w:t>
      </w:r>
    </w:p>
    <w:p>
      <w:pPr>
        <w:spacing w:after="0" w:line="46"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2015 period, which was driven entirely by the inclusion of acquisitions in both reported and currency neutral basis amounts. In addition, the overall performance reflects new win performance offset by volume declines.</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t>The currency neutral increase was due to mid to high single-digit growth in Sweet and low single-digit growth in Beverage and Savory. The Flavors business delivered currency neutral growth in NOAM, LA and GA, led by NOAM. Sales in NOAM were led by double-digit gains in Sweet and high single-digit gains in Beverage. LA sales were driven by double-digit gains in Sweet and Savory. Sales in GA were driven by high single-digit gains in Dairy.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Fragrances business experienced an increase of 3% in reported sales and an 8% increase in currency neutral sales for the first quarter of 2016 compared to the first quarter of 2015. Acquisitions accounted for primarily all of the growth on a reported basis and accounted for approximately half of the growth on a currency neutral basis. The overall currency neutral increase was primarily driven by double-digit growth in Fragrance Ingredients, which is driven entirely by the inclusion of acquisitions, in addition to high single-digit growth in Fine Fragrances, Fabric Care and Personal Wash categories. Excluding the effects of acquisitions, Fragrance Ingredients sales declined mid single-digits on a currency neutral basis.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7"/>
          </w:tcPr>
          <w:p>
            <w:pPr>
              <w:ind w:left="1040"/>
              <w:spacing w:after="0"/>
              <w:rPr>
                <w:sz w:val="20"/>
                <w:szCs w:val="20"/>
                <w:color w:val="auto"/>
              </w:rPr>
            </w:pPr>
            <w:r>
              <w:rPr>
                <w:rFonts w:ascii="Arial" w:cs="Arial" w:eastAsia="Arial" w:hAnsi="Arial"/>
                <w:sz w:val="14"/>
                <w:szCs w:val="14"/>
                <w:b w:val="1"/>
                <w:bCs w:val="1"/>
                <w:color w:val="auto"/>
                <w:w w:val="97"/>
              </w:rPr>
              <w:t>% Change in Sales-First Quarter 2016 vs. First Quarter 2015</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Flavors</w:t>
            </w: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2016 period.</w:t>
      </w:r>
    </w:p>
    <w:p>
      <w:pPr>
        <w:spacing w:after="0" w:line="210" w:lineRule="exact"/>
        <w:rPr>
          <w:rFonts w:ascii="Arial" w:cs="Arial" w:eastAsia="Arial" w:hAnsi="Arial"/>
          <w:sz w:val="18"/>
          <w:szCs w:val="18"/>
          <w:color w:val="auto"/>
        </w:rPr>
      </w:pPr>
    </w:p>
    <w:p>
      <w:pPr>
        <w:ind w:left="660" w:right="300" w:hanging="328"/>
        <w:spacing w:after="0" w:line="271"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NOAM Flavors sales increased 9%, which included the impact of acquisitions, high double-digit growth in Sweet and high single-digit growth in Beverage. NOAM Fragrance sales increased 14% in the first quarter of 2016, principally due to double-digit gains Fragrance Ingredients, which included the impact of acquisitions, Fine Fragrance and Fabric Care as well as high single-digit gains in Home Care.</w:t>
      </w:r>
    </w:p>
    <w:p>
      <w:pPr>
        <w:ind w:left="660" w:right="2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EAME Flavors currency neutral sales declined 1% primarily due to mid single-digit declines in Beverage and low single-digit declines in Savory and Sweet. EAME Fragrance currency neutral sales increased 4% overall, driven mainly by double-digit growth in Fragrance Ingredients, which included the impact of acquisitions, high single-digit growth in Fabric Care and mid single-digit growth in Fine Fragrance, which more than offset high single-digit declines in Home Care.</w:t>
      </w:r>
    </w:p>
    <w:p>
      <w:pPr>
        <w:spacing w:after="0" w:line="1" w:lineRule="exact"/>
        <w:rPr>
          <w:rFonts w:ascii="Arial" w:cs="Arial" w:eastAsia="Arial" w:hAnsi="Arial"/>
          <w:sz w:val="18"/>
          <w:szCs w:val="18"/>
          <w:color w:val="auto"/>
        </w:rPr>
      </w:pPr>
    </w:p>
    <w:p>
      <w:pPr>
        <w:ind w:left="660" w:right="360" w:hanging="328"/>
        <w:spacing w:after="0" w:line="265"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LA Flavors currency neutral sales were up 8% driven by double-digit gains in the Sweet, Savory and Dairy categories. LA Fragrances currency neutral sales increased 8% overall, principally led by double-digit gains in Personal Wash, Hair Care and Home Care, as well as mid single-digit gains in Fine Fragrance, which more than offset mid single-digit declines in Fragrance Ingredients.</w:t>
      </w:r>
    </w:p>
    <w:p>
      <w:pPr>
        <w:ind w:left="660" w:right="260" w:hanging="328"/>
        <w:spacing w:after="0" w:line="25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GA Flavors currency neutral sales increased 2% from the prior year period driven by high single-digit gains in Dairy and low single-digit gains in Sweet and Beverage. GA Fragrances currency neutral sales growth of 6% was principally driven by double-digit gains in Fragrance Ingredients, which included the impact of acquisitions, as well as high single-digit gains in Fabric Care and Personal Wash, which more than offset low to mid single-digit declines in Toiletries and Fine Fragrances.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goods sold, as a percentage of sales, decreased 130 bps to 54.0% in the first quarter of 2016 compared to 55.3% in the first quarter of 2015. Included in cost of goods sold was $1.3 million of acquisition related inventory step-up, restructuring and operational improvement costs in 2016 compared to $0.3 million of operational improvement initiative costs in 2015.</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Overall R&amp;D expenses, as a percentage of sales, was essentially flat compared to the prior year period at 8.1% in the first quarter of 2016 versus 8.2% in the first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S&amp;A expenses increased $4.5 million to $123.5 million or 15.8%, as a percentage of sales, in the first quarter of 2016 compared to 15.4% in the first quarter of 2015. The $4.5 million increase was principally due to increased professional fees which were partially offset by the benefit of $1.4 million related to the Spanish capital tax settlement. Excluding the benefit of $1.4 million, adjusted S&amp;A expenses increased by $5.9 million or 16.0%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Amortization expenses increased $4.3 million to $6.1 million in the first quarter of 2016 compared to $1.8 million in the first quarter of 2015. The $4.3 million increase was driven by the acquisitions of Ottens Flavors and Lucas Meyer in the second and third quarters of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91,813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92,727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89,237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81,598</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(13,870)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Spanish capital tax settlement</w:t>
            </w: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167,220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161,793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Flavors segment profit remained relatively consistent at $91.8 million in the first quarter of 2016, or 24.6% as a percentage of sales, with $92.7 million, or 24.6% as a percentage of sales, in the comparable 2015 period, reflecting growth from Ottens Flavors and productivity initiatives offset by unfavorable foreign currency impacts, incremental costs related to new sites and volume declines.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Fragrances segment profit increased approximately 9.4% to $89.2 million in the first quarter of 2016, or 21.7% as a percentage of sales, compared to $81.6 million, or 20.5% as a percentage of sales, in the comparable 2015 period. The increase in segment profit and profit margin was primarily due to favorable material costs, commercial performance and the impact of Lucas Meyer.</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quarter of 2016,</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23" w:right="259" w:bottom="1440" w:gutter="0" w:footer="0" w:header="0"/>
        </w:sectPr>
      </w:pPr>
    </w:p>
    <w:bookmarkStart w:id="22" w:name="page23"/>
    <w:bookmarkEnd w:id="22"/>
    <w:p>
      <w:pPr>
        <w:ind w:right="780"/>
        <w:spacing w:after="0" w:line="332" w:lineRule="auto"/>
        <w:rPr>
          <w:sz w:val="20"/>
          <w:szCs w:val="20"/>
          <w:color w:val="auto"/>
        </w:rPr>
      </w:pPr>
      <w:r>
        <w:rPr>
          <w:rFonts w:ascii="Arial" w:cs="Arial" w:eastAsia="Arial" w:hAnsi="Arial"/>
          <w:sz w:val="16"/>
          <w:szCs w:val="16"/>
          <w:color w:val="auto"/>
        </w:rPr>
        <w:t>Global expenses were $13.9 million compared to $11.6 million during the first quarter of 2015. The increase was principally driven by higher other administrative costs and slightly higher compensation costs, partially offset by higher favorable impact from our cash flow hedging program.</w:t>
      </w: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Interest expense increased $1.4 million to $12.5 million in the first quarter of 2016 compared to $11.1 million in the 2015 period. Average cost of debt was 3.9% for the 2016 period compared to 4.7% for the 2015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4"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Other income decreased by approximately $5.5 million to $0.2 million of income in the first quarter of 2016 versus $5.7 million of income in the comparable 2015 period. The year-over-year decrease is primarily driven by lower foreign exchange gains on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effective tax rate for the three months ended March 31, 2016 was 23.4% compared with 18.0% for the three months ended March 31, 2015. The quarter-over-quarter increase is largely due to a benefit of $10.5 million recorded in the first quarter of 2015, as a result of favorable tax rulings in Spain and another jurisdiction for which reserves were previously recorded, which was partially offset by lower cost of repatriation, lower loss provisions and favorable mix of earnings in the first quarter of 2016. Excluding the impact of items affecting comparability in the current quarter, the first quarter 2016 adjusted effective tax rate was 23.5%, or 120 bps lower than the first quarter 2015 adjusted effective tax rate of 24.7%.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had cash and cash equivalents of $528.9 million at March 31, 2016 compared to $182.0 million at December 31, 2015, of which $333.4 million of the balance at March 31, 2016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Net cash provided by operating activities in the first three months of 2016 were $31.6 million compared to $31.5 million in the first three months of 2015. Included in operating cash flows for the first three months of 2016 compared to 2015 was increased core working capital requirements offset by lower pension contributions than in 2015.</w:t>
      </w:r>
    </w:p>
    <w:p>
      <w:pPr>
        <w:spacing w:after="0" w:line="127"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Working capital (current assets less current liabilities) totaled $1,178.8 million at March 31, 2016, compared to $713.8 million at December 31, 2015.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from operations from participating in these programs decreased approximately $4.7 million for the three months ended March 31, 2016 compared to a decrease of approximately $6.5 million for the three months ended March 31, 2015. The cost of participating in these programs was immaterial to our results in all periods.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Net investing activities during the first three months of 2016 used $21.1 million compared to $17.9 million in the prior year period. Additions to property, plant and equipment were $22.5 million during the first three months of 2016 compared to $19.4 million in the first three months of 2015. We expect additions to property, plant and equipment will be approximately 5% of our sales (net of potential grants and other reimbursements from government authorities) in 2016.</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65" w:right="259" w:bottom="1440" w:gutter="0" w:footer="0" w:header="0"/>
        </w:sectPr>
      </w:pPr>
    </w:p>
    <w:bookmarkStart w:id="23" w:name="page24"/>
    <w:bookmarkEnd w:id="23"/>
    <w:p>
      <w:pPr>
        <w:ind w:firstLine="432"/>
        <w:spacing w:after="0" w:line="259" w:lineRule="auto"/>
        <w:rPr>
          <w:sz w:val="20"/>
          <w:szCs w:val="20"/>
          <w:color w:val="auto"/>
        </w:rPr>
      </w:pPr>
      <w:r>
        <w:rPr>
          <w:rFonts w:ascii="Arial" w:cs="Arial" w:eastAsia="Arial" w:hAnsi="Arial"/>
          <w:sz w:val="18"/>
          <w:szCs w:val="18"/>
          <w:color w:val="auto"/>
        </w:rPr>
        <w:t>Net financing activities in the first three months of 2016 provided $339.3 million of cash inflows compared to a use of $39.5 million in the first three months of 2015. The increase in cash provided by financing activities principally reflects the issuance of our Euro Senior Notes - 2016 (as discussed in Note 6 to the Consolidated Financial Statements), which was only partially offset by the repayment of our credit facility, higher treasury stock purchases and higher dividend payments during 2016 as compared to 2015.</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2016, we had $1,503.6 million of debt outstanding compared to $1,070.2 million outstanding at December 31, 2015.</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paid dividends totaling $44.8 million in the 2016 period. We declared a cash dividend per share of $0.56 in the first quarter of 2016 that was paid on April 7, 2016 to all shareholders of record as of March 28, 2016.</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$196.7 million available under the amended repurchase program, approximately 1.7 million shares, or 2.1% of shares outstanding (based on the market price and shares outstanding as of March 31, 2016) could be repurchased under the program as of March 31, 2016. The purchases will be made from time to time on the open market or through private transactions as market and business conditions warrant. Repurchased shares will be placed into treasury stock. During the three months ended March 31, 2016, we repurchased 363,334 shares on the open market at an aggregate cost of $40.0 million or an average of $110.11 per share. The ultimate level of purchases will be a function of the daily purchase limits established in the pre-approved program according to the share price at that time.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three months of 2016 or 2015.</w:t>
      </w:r>
    </w:p>
    <w:p>
      <w:pPr>
        <w:spacing w:after="0" w:line="1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We expect to contribute a total of approximately $24 million to our non-U.S. pension plans during 2016. During the three months ended March 31, 2016, no contributions were made to our qualified U.S. pension plans.</w:t>
      </w:r>
    </w:p>
    <w:p>
      <w:pPr>
        <w:spacing w:after="0" w:line="11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March 14, 2016, we issued Euro 500.0 million ($556.6 million) face amount of 1.75% Senior Notes ("Euro Senior Notes - 2016") due 2024 at a discount of Euro 0.9 million ($1.0 million). The Company received proceeds related to the issuance of these Euro Senior Notes - 2016 of Euro 496.0 million ($552.1 million) which was net of the $1.0 million discount and Euro 3.1 million ($3.5 million) underwriting discount (recorded as deferred financing costs). In addition, the Company incurred $1.3 million of other deferred financing costs in connection with the debt issuance. The discount and deferred financing costs are being amortized as interest expense over the term of the Euro Senior Notes - 2016. The Euro Senior Notes - 2016 bear interest at a rate of 1.75% per annum, with interest payable on March 14 of each year, commencing on March 14, 2017. The Euro Senior Notes - 2016 will mature on March 14, 2024. See Note 6 to the Consolidated Financial Statements for further information.</w:t>
      </w:r>
    </w:p>
    <w:p>
      <w:pPr>
        <w:spacing w:after="0" w:line="124"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As of March 31, 2016, we had no borrowings under our revolving credit facility. The amount which we are able to draw down on under the facility is limited by financial covenants as described in more detail below. Our draw down capacity on the facility was $950.0 million at March 31, 2016.</w:t>
      </w:r>
    </w:p>
    <w:p>
      <w:pPr>
        <w:spacing w:after="0" w:line="70"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March 31, 2016 our covenant compliance provided overall borrowing capacity of $1,356 million.</w:t>
      </w:r>
    </w:p>
    <w:p>
      <w:pPr>
        <w:spacing w:after="0" w:line="127" w:lineRule="exact"/>
        <w:rPr>
          <w:sz w:val="20"/>
          <w:szCs w:val="20"/>
          <w:color w:val="auto"/>
        </w:rPr>
      </w:pPr>
    </w:p>
    <w:p>
      <w:pPr>
        <w:ind w:right="60" w:firstLine="432"/>
        <w:spacing w:after="0" w:line="268" w:lineRule="auto"/>
        <w:rPr>
          <w:sz w:val="20"/>
          <w:szCs w:val="20"/>
          <w:color w:val="auto"/>
        </w:rPr>
      </w:pPr>
      <w:r>
        <w:rPr>
          <w:rFonts w:ascii="Arial" w:cs="Arial" w:eastAsia="Arial" w:hAnsi="Arial"/>
          <w:sz w:val="16"/>
          <w:szCs w:val="16"/>
          <w:color w:val="auto"/>
        </w:rPr>
        <w:t xml:space="preserve">At March 31, 2016, we were in compliance with all financial and other covenants, including the net debt to adjusted EBITDA ratio. At March 31, 2016 our Net Debt/adjusted EBITDA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ratio, as defined by the debt agreements, was 1.36 to 1,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65" w:right="259" w:bottom="1440" w:gutter="0" w:footer="0" w:header="0"/>
        </w:sectPr>
      </w:pPr>
    </w:p>
    <w:bookmarkStart w:id="24" w:name="page25"/>
    <w:bookmarkEnd w:id="24"/>
    <w:p>
      <w:pPr>
        <w:ind w:right="260"/>
        <w:spacing w:after="0" w:line="264" w:lineRule="auto"/>
        <w:rPr>
          <w:sz w:val="20"/>
          <w:szCs w:val="20"/>
          <w:color w:val="auto"/>
        </w:rPr>
      </w:pPr>
      <w:r>
        <w:rPr>
          <w:rFonts w:ascii="Arial" w:cs="Arial" w:eastAsia="Arial" w:hAnsi="Arial"/>
          <w:sz w:val="18"/>
          <w:szCs w:val="18"/>
          <w:color w:val="auto"/>
        </w:rPr>
        <w:t>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54" w:lineRule="exact"/>
        <w:rPr>
          <w:sz w:val="20"/>
          <w:szCs w:val="20"/>
          <w:color w:val="auto"/>
        </w:rPr>
      </w:pPr>
    </w:p>
    <w:p>
      <w:pPr>
        <w:ind w:left="540" w:right="80" w:hanging="316"/>
        <w:spacing w:after="0" w:line="259" w:lineRule="auto"/>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right"/>
              <w:ind w:right="592"/>
              <w:spacing w:after="0"/>
              <w:rPr>
                <w:sz w:val="20"/>
                <w:szCs w:val="20"/>
                <w:color w:val="auto"/>
              </w:rPr>
            </w:pPr>
            <w:r>
              <w:rPr>
                <w:rFonts w:ascii="Arial" w:cs="Arial" w:eastAsia="Arial" w:hAnsi="Arial"/>
                <w:sz w:val="14"/>
                <w:szCs w:val="14"/>
                <w:i w:val="1"/>
                <w:iCs w:val="1"/>
                <w:color w:val="auto"/>
              </w:rPr>
              <w:t>Twelve Months Ended March 31,</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436.1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47.5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45.5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126.4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96.3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86.6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14.6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1.4</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20.3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20.4</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716.3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716.4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720" w:hanging="332"/>
        <w:spacing w:after="0" w:line="258"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March 31, 2016 of $14.6 million consist of restructuring charges and the acceleration of the contingent consideration related to the Aromor acquisition as discussed in our 2015 Form 10-K.</w:t>
      </w:r>
    </w:p>
    <w:p>
      <w:pPr>
        <w:spacing w:after="0" w:line="1" w:lineRule="exact"/>
        <w:rPr>
          <w:rFonts w:ascii="Arial" w:cs="Arial" w:eastAsia="Arial" w:hAnsi="Arial"/>
          <w:sz w:val="18"/>
          <w:szCs w:val="18"/>
          <w:i w:val="1"/>
          <w:iCs w:val="1"/>
          <w:color w:val="auto"/>
        </w:rPr>
      </w:pPr>
    </w:p>
    <w:p>
      <w:pPr>
        <w:ind w:left="340" w:right="120" w:hanging="332"/>
        <w:spacing w:after="0" w:line="261"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stock-based compensation and pension settlement/curtailment.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March 31,</w:t>
            </w:r>
          </w:p>
        </w:tc>
        <w:tc>
          <w:tcPr>
            <w:tcW w:w="114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1,503.6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943.5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(528.9)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(443.7)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971.9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495.1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As discussed in Note 13 to the Consolidated Financial Statements, at March 31, 2016,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This Quarterly Report includes “forward-looking statements” under the Federal Private Securities Litigation Reform Act of 1995, including statements regarding our expectations concerning (i) expected cost pressures in 2016, (ii) capital spending in 2016, (iii) cash flows to fund future operations and to meet debt service requirements, and (iv) our plans and intentions to indefinitely reinvest undistributed foreign earnings in our foreign subsidiaries to fund local operations and/or capital projects.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17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implement our Vision 2020 strategy;</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ind w:left="660" w:right="3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identify and complete acquisitions in line with our Vision 2020 strategy, and to realize the anticipated benefits of those acquisitions;</w:t>
      </w:r>
    </w:p>
    <w:p>
      <w:pPr>
        <w:spacing w:after="0" w:line="1"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to successfully develop new and competitive products that appeal to our customers and consumers;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a decline in consumer confidence and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 including the devaluation of the Euro;</w:t>
      </w:r>
    </w:p>
    <w:p>
      <w:pPr>
        <w:spacing w:after="0" w:line="20" w:lineRule="exact"/>
        <w:rPr>
          <w:rFonts w:ascii="Arial" w:cs="Arial" w:eastAsia="Arial" w:hAnsi="Arial"/>
          <w:sz w:val="17"/>
          <w:szCs w:val="17"/>
          <w:color w:val="auto"/>
        </w:rPr>
      </w:pPr>
    </w:p>
    <w:p>
      <w:pPr>
        <w:ind w:left="660" w:right="6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economic and political risks associated with our international operations, including challenging economic conditions in China and Latin America;</w:t>
      </w:r>
    </w:p>
    <w:p>
      <w:pPr>
        <w:ind w:left="660" w:right="4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legal and regulatory developments, as well as restrictions or costs that may be imposed on us or our operations by U.S. and foreign governments;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any failure of our key information technology systems or a breach of information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realize expected cost savings and efficiencies from our profitability improvement initiatives and other optimization activities;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manage our working capital and inventory balances;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660" w:right="5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federal, state, local and international tax legislation or policies, including with respect to transfer pricing and state aid, and adverse results of tax audits, assessments, or disputes;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2015 Form 10-K for additional information regarding factors that could affect our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Company uses non-GAAP financial operating measures in this Quarterly Report, including: (i) currency neutral sales (which eliminates the effects that result from translating its international sales in U.S. dollars), (ii) adjusted operating profit and adjusted operating margin (which excludes the acquisition related costs, operational improvement initiative costs, restructuring charges and tax settlements), (iii) adjusted selling and administrative expenses (which excludes the benefit related to the Spanish capital tax settlement and (iv) adjusted effective tax rate (which excludes acquisition related costs, operational improvement initiative costs, restructuring charges and tax settlements).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6" w:name="page27"/>
    <w:bookmarkEnd w:id="26"/>
    <w:p>
      <w:pPr>
        <w:spacing w:after="0" w:line="293" w:lineRule="auto"/>
        <w:rPr>
          <w:sz w:val="20"/>
          <w:szCs w:val="20"/>
          <w:color w:val="auto"/>
        </w:rPr>
      </w:pPr>
      <w:r>
        <w:rPr>
          <w:rFonts w:ascii="Arial" w:cs="Arial" w:eastAsia="Arial" w:hAnsi="Arial"/>
          <w:sz w:val="16"/>
          <w:szCs w:val="16"/>
          <w:color w:val="auto"/>
        </w:rPr>
        <w:t>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We compensate for such limitations by using these measures as one of several metrics, including GAAP measures. These non-GAAP measures may not be comparable to similarly titled measures used by other companies.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A. Foreign Currency Reconciliation</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60"/>
        </w:trPr>
        <w:tc>
          <w:tcPr>
            <w:tcW w:w="69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9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March 31, 2016</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March 31, 2015</w:t>
            </w:r>
          </w:p>
        </w:tc>
      </w:tr>
      <w:tr>
        <w:trPr>
          <w:trHeight w:val="27"/>
        </w:trPr>
        <w:tc>
          <w:tcPr>
            <w:tcW w:w="696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Operating Profit</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Operating Profit</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r>
      <w:tr>
        <w:trPr>
          <w:trHeight w:val="306"/>
        </w:trPr>
        <w:tc>
          <w:tcPr>
            <w:tcW w:w="6960" w:type="dxa"/>
            <w:vAlign w:val="bottom"/>
          </w:tcPr>
          <w:p>
            <w:pPr>
              <w:ind w:left="40"/>
              <w:spacing w:after="0"/>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34"/>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Currency Impact</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 Adjusted (Non-GAAP)**</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10%*</w:t>
            </w: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ind w:left="60" w:right="520" w:firstLine="2"/>
        <w:spacing w:after="0" w:line="250" w:lineRule="auto"/>
        <w:tabs>
          <w:tab w:leader="none" w:pos="3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items impacting comparability of less than $0.1 million and $1.0 million for the three months ended March 31, 2016 and March 31, 2015, respectively.</w:t>
      </w:r>
    </w:p>
    <w:p>
      <w:pPr>
        <w:ind w:left="60"/>
        <w:spacing w:after="0"/>
        <w:rPr>
          <w:rFonts w:ascii="Arial" w:cs="Arial" w:eastAsia="Arial" w:hAnsi="Arial"/>
          <w:sz w:val="18"/>
          <w:szCs w:val="18"/>
          <w:color w:val="auto"/>
        </w:rPr>
      </w:pPr>
      <w:r>
        <w:rPr>
          <w:rFonts w:ascii="Arial" w:cs="Arial" w:eastAsia="Arial" w:hAnsi="Arial"/>
          <w:sz w:val="18"/>
          <w:szCs w:val="18"/>
          <w:color w:val="auto"/>
        </w:rPr>
        <w:t>* The sum of these items do not foot due to rounding.</w:t>
      </w:r>
    </w:p>
    <w:p>
      <w:pPr>
        <w:spacing w:after="0" w:line="9" w:lineRule="exact"/>
        <w:rPr>
          <w:rFonts w:ascii="Arial" w:cs="Arial" w:eastAsia="Arial" w:hAnsi="Arial"/>
          <w:sz w:val="18"/>
          <w:szCs w:val="18"/>
          <w:color w:val="auto"/>
        </w:rPr>
      </w:pPr>
    </w:p>
    <w:p>
      <w:pPr>
        <w:ind w:left="60" w:right="220"/>
        <w:spacing w:after="0" w:line="261" w:lineRule="auto"/>
        <w:rPr>
          <w:rFonts w:ascii="Arial" w:cs="Arial" w:eastAsia="Arial" w:hAnsi="Arial"/>
          <w:sz w:val="18"/>
          <w:szCs w:val="18"/>
          <w:color w:val="auto"/>
        </w:rPr>
      </w:pPr>
      <w:r>
        <w:rPr>
          <w:rFonts w:ascii="Arial" w:cs="Arial" w:eastAsia="Arial" w:hAnsi="Arial"/>
          <w:sz w:val="18"/>
          <w:szCs w:val="18"/>
          <w:color w:val="auto"/>
        </w:rPr>
        <w:t>** Currency neutral amount is calculated by translating prior year amounts at the exchange rates used for the corresponding 2016 period. Currency neutral operating profit also eliminates the year-over-year impact of cash flow hedging.</w:t>
      </w:r>
    </w:p>
    <w:p>
      <w:pPr>
        <w:spacing w:after="0" w:line="179"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25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Three Months Ended March 31, 2016</w:t>
            </w: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Ottens Flavors</w:t>
            </w:r>
          </w:p>
        </w:tc>
        <w:tc>
          <w:tcPr>
            <w:tcW w:w="4160" w:type="dxa"/>
            <w:vAlign w:val="bottom"/>
          </w:tcPr>
          <w:p>
            <w:pPr>
              <w:jc w:val="center"/>
              <w:spacing w:after="0"/>
              <w:rPr>
                <w:sz w:val="20"/>
                <w:szCs w:val="20"/>
                <w:color w:val="auto"/>
              </w:rPr>
            </w:pPr>
            <w:r>
              <w:rPr>
                <w:rFonts w:ascii="Arial" w:cs="Arial" w:eastAsia="Arial" w:hAnsi="Arial"/>
                <w:sz w:val="18"/>
                <w:szCs w:val="18"/>
                <w:color w:val="auto"/>
                <w:w w:val="87"/>
              </w:rPr>
              <w:t>$1,616</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Lucas Meyer</w:t>
            </w:r>
          </w:p>
        </w:tc>
        <w:tc>
          <w:tcPr>
            <w:tcW w:w="4160" w:type="dxa"/>
            <w:vAlign w:val="bottom"/>
          </w:tcPr>
          <w:p>
            <w:pPr>
              <w:jc w:val="center"/>
              <w:spacing w:after="0"/>
              <w:rPr>
                <w:sz w:val="20"/>
                <w:szCs w:val="20"/>
                <w:color w:val="auto"/>
              </w:rPr>
            </w:pPr>
            <w:r>
              <w:rPr>
                <w:rFonts w:ascii="Arial" w:cs="Arial" w:eastAsia="Arial" w:hAnsi="Arial"/>
                <w:sz w:val="18"/>
                <w:szCs w:val="18"/>
                <w:color w:val="auto"/>
                <w:w w:val="87"/>
              </w:rPr>
              <w:t>$2,586</w:t>
            </w:r>
          </w:p>
        </w:tc>
      </w:tr>
      <w:tr>
        <w:trPr>
          <w:trHeight w:val="864"/>
        </w:trPr>
        <w:tc>
          <w:tcPr>
            <w:tcW w:w="2520" w:type="dxa"/>
            <w:vAlign w:val="bottom"/>
          </w:tcPr>
          <w:p>
            <w:pPr>
              <w:spacing w:after="0"/>
              <w:rPr>
                <w:sz w:val="24"/>
                <w:szCs w:val="24"/>
                <w:color w:val="auto"/>
              </w:rPr>
            </w:pPr>
          </w:p>
        </w:tc>
        <w:tc>
          <w:tcPr>
            <w:tcW w:w="4160" w:type="dxa"/>
            <w:vAlign w:val="bottom"/>
          </w:tcPr>
          <w:p>
            <w:pPr>
              <w:jc w:val="right"/>
              <w:ind w:right="77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the Company’s 2015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March 31, 2016 that have materially affected, or are reasonably likely to materially affect, our internal control over financial reporting.</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17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Spanish tax authorities alleged claims for a capital tax,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have reversed the previously recorded provision of Euro 9.8 million ($10.5 million) for the year ended December 31, 2015. During the first quarter of 2016, we recorded additional income of $1.4 million related to amounts expected to be received from the authorities. This amount has been reflected as a reduction of administrative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23" w:right="259" w:bottom="1440" w:gutter="0" w:footer="0" w:header="0"/>
        </w:sectPr>
      </w:pPr>
    </w:p>
    <w:bookmarkStart w:id="28" w:name="page29"/>
    <w:bookmarkEnd w:id="28"/>
    <w:p>
      <w:pPr>
        <w:ind w:firstLine="432"/>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early 2017.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first quarter of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5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238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34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January 1 - 31, 2016</w:t>
            </w:r>
          </w:p>
        </w:tc>
        <w:tc>
          <w:tcPr>
            <w:tcW w:w="1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133,745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221,430,368</w:t>
            </w:r>
          </w:p>
        </w:tc>
        <w:tc>
          <w:tcPr>
            <w:tcW w:w="0" w:type="dxa"/>
            <w:vAlign w:val="bottom"/>
          </w:tcPr>
          <w:p>
            <w:pPr>
              <w:spacing w:after="0"/>
              <w:rPr>
                <w:sz w:val="1"/>
                <w:szCs w:val="1"/>
                <w:color w:val="auto"/>
              </w:rPr>
            </w:pPr>
          </w:p>
        </w:tc>
      </w:tr>
      <w:tr>
        <w:trPr>
          <w:trHeight w:val="261"/>
        </w:trPr>
        <w:tc>
          <w:tcPr>
            <w:tcW w:w="2380" w:type="dxa"/>
            <w:vAlign w:val="bottom"/>
          </w:tcPr>
          <w:p>
            <w:pPr>
              <w:ind w:left="40"/>
              <w:spacing w:after="0"/>
              <w:rPr>
                <w:sz w:val="20"/>
                <w:szCs w:val="20"/>
                <w:color w:val="auto"/>
              </w:rPr>
            </w:pPr>
            <w:r>
              <w:rPr>
                <w:rFonts w:ascii="Arial" w:cs="Arial" w:eastAsia="Arial" w:hAnsi="Arial"/>
                <w:sz w:val="20"/>
                <w:szCs w:val="20"/>
                <w:color w:val="auto"/>
              </w:rPr>
              <w:t>February 1 - 29, 2016</w:t>
            </w:r>
          </w:p>
        </w:tc>
        <w:tc>
          <w:tcPr>
            <w:tcW w:w="1840" w:type="dxa"/>
            <w:vAlign w:val="bottom"/>
          </w:tcPr>
          <w:p>
            <w:pPr>
              <w:jc w:val="right"/>
              <w:ind w:right="18"/>
              <w:spacing w:after="0"/>
              <w:rPr>
                <w:sz w:val="20"/>
                <w:szCs w:val="20"/>
                <w:color w:val="auto"/>
              </w:rPr>
            </w:pPr>
            <w:r>
              <w:rPr>
                <w:rFonts w:ascii="Arial" w:cs="Arial" w:eastAsia="Arial" w:hAnsi="Arial"/>
                <w:sz w:val="18"/>
                <w:szCs w:val="18"/>
                <w:color w:val="auto"/>
              </w:rPr>
              <w:t>175,805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108.22</w:t>
            </w:r>
          </w:p>
        </w:tc>
        <w:tc>
          <w:tcPr>
            <w:tcW w:w="100" w:type="dxa"/>
            <w:vAlign w:val="bottom"/>
          </w:tcPr>
          <w:p>
            <w:pPr>
              <w:spacing w:after="0"/>
              <w:rPr>
                <w:sz w:val="22"/>
                <w:szCs w:val="22"/>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175,805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202,404,433</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March 1 - 31, 2016</w:t>
            </w: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53,784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105.44</w:t>
            </w:r>
          </w:p>
        </w:tc>
        <w:tc>
          <w:tcPr>
            <w:tcW w:w="10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53,784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196,733,680</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363,334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110.11</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363,334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196,733,680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86"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and amended in August 2015 (i) to increase from $250 million to $500 million the total purchase price of shares that may be repurchased under the program and (ii) to extend the program through December 31, 2017. Authorization of the repurchase program may be modified, suspended, or discontinued at any time.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9280" w:type="dxa"/>
            <w:vAlign w:val="bottom"/>
          </w:tcPr>
          <w:p>
            <w:pPr>
              <w:spacing w:after="0"/>
              <w:rPr>
                <w:sz w:val="17"/>
                <w:szCs w:val="17"/>
                <w:color w:val="auto"/>
              </w:rPr>
            </w:pPr>
          </w:p>
        </w:tc>
      </w:tr>
      <w:tr>
        <w:trPr>
          <w:trHeight w:val="411"/>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5"/>
              </w:rPr>
              <w:t>Indenture, dated as of March 2, 2016, among International Flavors &amp; Fragrances Inc. and U.S. Bank National Association, as trustee,</w:t>
            </w:r>
          </w:p>
        </w:tc>
      </w:tr>
      <w:tr>
        <w:trPr>
          <w:trHeight w:val="216"/>
        </w:trPr>
        <w:tc>
          <w:tcPr>
            <w:tcW w:w="78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1"/>
              </w:rPr>
              <w:t>incorporated herein by reference to Exhibit 4.1 to the Registrant's Registration Statement on Form S-3 (File No. 333-209889) filed on March</w:t>
            </w:r>
          </w:p>
        </w:tc>
      </w:tr>
      <w:tr>
        <w:trPr>
          <w:trHeight w:val="230"/>
        </w:trPr>
        <w:tc>
          <w:tcPr>
            <w:tcW w:w="78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2, 2016.</w:t>
            </w:r>
          </w:p>
        </w:tc>
        <w:tc>
          <w:tcPr>
            <w:tcW w:w="928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8"/>
              </w:rPr>
              <w:t>First Supplemental Indenture, dated as of March 14, 2016, among International Flavors &amp; Fragrances Inc. and U.S. Bank National</w:t>
            </w:r>
          </w:p>
        </w:tc>
      </w:tr>
      <w:tr>
        <w:trPr>
          <w:trHeight w:val="216"/>
        </w:trPr>
        <w:tc>
          <w:tcPr>
            <w:tcW w:w="78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2"/>
              </w:rPr>
              <w:t>Association, as trustee (including the form of Notes), incorporated herein by reference to Exhibit 4.7 to the Registrant's Current Report on</w:t>
            </w:r>
          </w:p>
        </w:tc>
      </w:tr>
      <w:tr>
        <w:trPr>
          <w:trHeight w:val="230"/>
        </w:trPr>
        <w:tc>
          <w:tcPr>
            <w:tcW w:w="780" w:type="dxa"/>
            <w:vAlign w:val="bottom"/>
          </w:tcPr>
          <w:p>
            <w:pPr>
              <w:spacing w:after="0"/>
              <w:rPr>
                <w:sz w:val="20"/>
                <w:szCs w:val="20"/>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Form 8-K filed on March 14, 2016.</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2"/>
              </w:rPr>
              <w:t>Form of Long-Term Incentive Plan Award Agreement under the International Flavors &amp; Fragrances 2015 Stock Award and Incentive Plan,</w:t>
            </w:r>
          </w:p>
        </w:tc>
      </w:tr>
      <w:tr>
        <w:trPr>
          <w:trHeight w:val="230"/>
        </w:trPr>
        <w:tc>
          <w:tcPr>
            <w:tcW w:w="780" w:type="dxa"/>
            <w:vAlign w:val="bottom"/>
          </w:tcPr>
          <w:p>
            <w:pPr>
              <w:spacing w:after="0"/>
              <w:rPr>
                <w:sz w:val="20"/>
                <w:szCs w:val="20"/>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incorporated herein by reference to Exhibit 10.25 to the Registrant's Annual Report on Form 10-K filed on March 1, 2016.</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Certification of Alison A. Cornell pursuant to Section 302 of the Sarbanes-Oxley Act of 2002.</w:t>
            </w:r>
          </w:p>
        </w:tc>
      </w:tr>
    </w:tbl>
    <w:p>
      <w:pPr>
        <w:spacing w:after="0" w:line="40" w:lineRule="exact"/>
        <w:rPr>
          <w:sz w:val="20"/>
          <w:szCs w:val="20"/>
          <w:color w:val="auto"/>
        </w:rPr>
      </w:pPr>
    </w:p>
    <w:p>
      <w:pPr>
        <w:ind w:left="1080" w:right="140" w:hanging="1045"/>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742" w:right="419" w:bottom="1440" w:gutter="0" w:footer="0" w:header="0"/>
        </w:sectPr>
      </w:pPr>
    </w:p>
    <w:bookmarkStart w:id="30" w:name="page31"/>
    <w:bookmarkEnd w:id="30"/>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Alison A. Cornell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Alison A. Cornell</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80"/>
          </w:cols>
          <w:pgMar w:left="240" w:top="580" w:right="879" w:bottom="1440" w:gutter="0" w:footer="0" w:header="0"/>
        </w:sectPr>
      </w:pPr>
    </w:p>
    <w:bookmarkStart w:id="31" w:name="page32"/>
    <w:bookmarkEnd w:id="31"/>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34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ind w:left="180"/>
              <w:spacing w:after="0"/>
              <w:rPr>
                <w:sz w:val="20"/>
                <w:szCs w:val="20"/>
                <w:color w:val="auto"/>
              </w:rPr>
            </w:pPr>
            <w:r>
              <w:rPr>
                <w:rFonts w:ascii="Arial" w:cs="Arial" w:eastAsia="Arial" w:hAnsi="Arial"/>
                <w:sz w:val="14"/>
                <w:szCs w:val="14"/>
                <w:color w:val="auto"/>
              </w:rPr>
              <w:t>Number</w:t>
            </w:r>
          </w:p>
        </w:tc>
        <w:tc>
          <w:tcPr>
            <w:tcW w:w="1034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41"/>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340" w:type="dxa"/>
            <w:vAlign w:val="bottom"/>
          </w:tcPr>
          <w:p>
            <w:pPr>
              <w:ind w:left="200"/>
              <w:spacing w:after="0"/>
              <w:rPr>
                <w:sz w:val="20"/>
                <w:szCs w:val="20"/>
                <w:color w:val="auto"/>
              </w:rPr>
            </w:pPr>
            <w:r>
              <w:rPr>
                <w:rFonts w:ascii="Arial" w:cs="Arial" w:eastAsia="Arial" w:hAnsi="Arial"/>
                <w:sz w:val="18"/>
                <w:szCs w:val="18"/>
                <w:color w:val="auto"/>
                <w:w w:val="95"/>
              </w:rPr>
              <w:t>Indenture, dated as of March 2, 2016, among International Flavors &amp; Fragrances Inc. and U.S. Bank National Association, as trustee,</w:t>
            </w:r>
          </w:p>
        </w:tc>
      </w:tr>
      <w:tr>
        <w:trPr>
          <w:trHeight w:val="216"/>
        </w:trPr>
        <w:tc>
          <w:tcPr>
            <w:tcW w:w="84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1"/>
              </w:rPr>
              <w:t>incorporated herein by reference to Exhibit 4.1 to the Registrant's Registration Statement on Form S-3 (File No. 333-209889) filed on March</w:t>
            </w:r>
          </w:p>
        </w:tc>
      </w:tr>
      <w:tr>
        <w:trPr>
          <w:trHeight w:val="230"/>
        </w:trPr>
        <w:tc>
          <w:tcPr>
            <w:tcW w:w="84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2, 2016.</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340" w:type="dxa"/>
            <w:vAlign w:val="bottom"/>
          </w:tcPr>
          <w:p>
            <w:pPr>
              <w:ind w:left="200"/>
              <w:spacing w:after="0"/>
              <w:rPr>
                <w:sz w:val="20"/>
                <w:szCs w:val="20"/>
                <w:color w:val="auto"/>
              </w:rPr>
            </w:pPr>
            <w:r>
              <w:rPr>
                <w:rFonts w:ascii="Arial" w:cs="Arial" w:eastAsia="Arial" w:hAnsi="Arial"/>
                <w:sz w:val="18"/>
                <w:szCs w:val="18"/>
                <w:color w:val="auto"/>
                <w:w w:val="98"/>
              </w:rPr>
              <w:t>First Supplemental Indenture, dated as of March 14, 2016, among International Flavors &amp; Fragrances Inc. and U.S. Bank National</w:t>
            </w:r>
          </w:p>
        </w:tc>
      </w:tr>
      <w:tr>
        <w:trPr>
          <w:trHeight w:val="216"/>
        </w:trPr>
        <w:tc>
          <w:tcPr>
            <w:tcW w:w="84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2"/>
              </w:rPr>
              <w:t>Association, as trustee (including the form of Notes), incorporated herein by reference to Exhibit 4.7 to the Registrant's Current Report on</w:t>
            </w:r>
          </w:p>
        </w:tc>
      </w:tr>
      <w:tr>
        <w:trPr>
          <w:trHeight w:val="230"/>
        </w:trPr>
        <w:tc>
          <w:tcPr>
            <w:tcW w:w="84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Form 8-K filed on March 14, 2016.</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340" w:type="dxa"/>
            <w:vAlign w:val="bottom"/>
          </w:tcPr>
          <w:p>
            <w:pPr>
              <w:ind w:left="200"/>
              <w:spacing w:after="0"/>
              <w:rPr>
                <w:sz w:val="20"/>
                <w:szCs w:val="20"/>
                <w:color w:val="auto"/>
              </w:rPr>
            </w:pPr>
            <w:r>
              <w:rPr>
                <w:rFonts w:ascii="Arial" w:cs="Arial" w:eastAsia="Arial" w:hAnsi="Arial"/>
                <w:sz w:val="18"/>
                <w:szCs w:val="18"/>
                <w:color w:val="auto"/>
                <w:w w:val="92"/>
              </w:rPr>
              <w:t>Form of Long-Term Incentive Plan Award Agreement under the International Flavors &amp; Fragrances 2015 Stock Award and Incentive Plan,</w:t>
            </w:r>
          </w:p>
        </w:tc>
      </w:tr>
      <w:tr>
        <w:trPr>
          <w:trHeight w:val="230"/>
        </w:trPr>
        <w:tc>
          <w:tcPr>
            <w:tcW w:w="84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incorporated herein by reference to Exhibit 10.25 to the Registrant's Annual Report on Form 10-K filed on March 1, 2016.</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20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200"/>
              <w:spacing w:after="0"/>
              <w:rPr>
                <w:sz w:val="20"/>
                <w:szCs w:val="20"/>
                <w:color w:val="auto"/>
              </w:rPr>
            </w:pPr>
            <w:r>
              <w:rPr>
                <w:rFonts w:ascii="Arial" w:cs="Arial" w:eastAsia="Arial" w:hAnsi="Arial"/>
                <w:sz w:val="18"/>
                <w:szCs w:val="18"/>
                <w:color w:val="auto"/>
              </w:rPr>
              <w:t>Certification of Alison A. Cornell pursuant to Section 302 of the Sarbanes-Oxley Act of 2002.</w:t>
            </w:r>
          </w:p>
        </w:tc>
      </w:tr>
    </w:tbl>
    <w:p>
      <w:pPr>
        <w:spacing w:after="0" w:line="40" w:lineRule="exact"/>
        <w:rPr>
          <w:sz w:val="20"/>
          <w:szCs w:val="20"/>
          <w:color w:val="auto"/>
        </w:rPr>
      </w:pPr>
    </w:p>
    <w:p>
      <w:pPr>
        <w:ind w:left="1045" w:right="120" w:hanging="1045"/>
        <w:spacing w:after="0" w:line="277" w:lineRule="auto"/>
        <w:tabs>
          <w:tab w:leader="none" w:pos="10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28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5"/>
          </w:cols>
          <w:pgMar w:left="275" w:top="580"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9, 2016</w:t>
      </w:r>
    </w:p>
    <w:p>
      <w:pPr>
        <w:spacing w:after="0" w:line="6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Alison A. Cornell, certify that:</w:t>
      </w:r>
    </w:p>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9, 2016</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Alison A. Cornell</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Alison A. Cornell</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8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March 31, 2016 as filed with the Securities and Exchange Commission on the date hereof (the "Report"), Andreas Fibig, as Chief Executive Officer, and Alison A. Cornell, as Chief Financial Officer, each hereby certifies, pursuant to 18 U.S.C. Section 1350, as adopted pursuant to Section 906 of the Sarbanes-Oxley Act of 2002, that, to the best of his or her knowledge:</w:t>
      </w:r>
    </w:p>
    <w:p>
      <w:pPr>
        <w:spacing w:after="0" w:line="190" w:lineRule="exact"/>
        <w:rPr>
          <w:sz w:val="20"/>
          <w:szCs w:val="20"/>
          <w:color w:val="auto"/>
        </w:rPr>
      </w:pPr>
    </w:p>
    <w:p>
      <w:pPr>
        <w:ind w:right="2080" w:firstLine="8"/>
        <w:spacing w:after="0" w:line="479" w:lineRule="auto"/>
        <w:tabs>
          <w:tab w:leader="none" w:pos="2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May 9, 2016</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Alison A. Cornell</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Alison A. Cornell</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May 9, 2016</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lvl w:ilvl="1">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upperLetter"/>
      <w:start w:val="1"/>
    </w:lvl>
    <w:lvl w:ilvl="1">
      <w:lvlJc w:val="left"/>
      <w:lvlText w:val="(%2)"/>
      <w:numFmt w:val="decimal"/>
      <w:start w:val="1"/>
    </w:lvl>
  </w:abstractNum>
  <w:abstractNum w:abstractNumId="16">
    <w:nsid w:val="62BBD95A"/>
    <w:multiLevelType w:val="hybridMultilevel"/>
    <w:lvl w:ilvl="0">
      <w:lvlJc w:val="left"/>
      <w:lvlText w:val="%1."/>
      <w:numFmt w:val="upperLetter"/>
      <w:start w:val="2"/>
    </w:lvl>
    <w:lvl w:ilvl="1">
      <w:lvlJc w:val="left"/>
      <w:lvlText w:val="%2"/>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32"/>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2019-12-05T07:05:43Z</dcterms:created>
  <dcterms:modified xsi:type="dcterms:W3CDTF">2019-12-05T07:05:43Z</dcterms:modified>
</cp:coreProperties>
</file>