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4" w:lineRule="exact"/>
        <w:rPr>
          <w:sz w:val="24"/>
          <w:szCs w:val="24"/>
          <w:color w:val="auto"/>
        </w:rPr>
      </w:pPr>
    </w:p>
    <w:p>
      <w:pPr>
        <w:ind w:left="1960" w:right="1560" w:hanging="642"/>
        <w:spacing w:after="0" w:line="260" w:lineRule="auto"/>
        <w:tabs>
          <w:tab w:leader="none" w:pos="19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1960" w:right="1120" w:hanging="642"/>
        <w:spacing w:after="0" w:line="260" w:lineRule="auto"/>
        <w:tabs>
          <w:tab w:leader="none" w:pos="19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1960"/>
        <w:spacing w:after="0"/>
        <w:tabs>
          <w:tab w:leader="none" w:pos="4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Commission File Number 1-4858</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INTERNATIONAL FLAVORS &amp; FRAGRANCES INC.</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420"/>
          </w:cols>
          <w:pgMar w:left="240" w:top="1029" w:right="239" w:bottom="1440" w:gutter="0" w:footer="0" w:header="0"/>
        </w:sectPr>
      </w:pPr>
    </w:p>
    <w:p>
      <w:pPr>
        <w:spacing w:after="0" w:line="16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13-1432060</w:t>
      </w:r>
    </w:p>
    <w:p>
      <w:pPr>
        <w:spacing w:after="0" w:line="72" w:lineRule="exact"/>
        <w:rPr>
          <w:sz w:val="24"/>
          <w:szCs w:val="24"/>
          <w:color w:val="auto"/>
        </w:rPr>
      </w:pPr>
    </w:p>
    <w:p>
      <w:pPr>
        <w:sectPr>
          <w:pgSz w:w="11900" w:h="16838" w:orient="portrait"/>
          <w:cols w:equalWidth="0" w:num="2">
            <w:col w:w="7420" w:space="720"/>
            <w:col w:w="3280"/>
          </w:cols>
          <w:pgMar w:left="240" w:top="1029" w:right="239" w:bottom="1440" w:gutter="0" w:footer="0" w:header="0"/>
          <w:type w:val="continuous"/>
        </w:sectPr>
      </w:pPr>
    </w:p>
    <w:p>
      <w:pPr>
        <w:jc w:val="center"/>
        <w:ind w:right="1100"/>
        <w:spacing w:after="0"/>
        <w:rPr>
          <w:sz w:val="20"/>
          <w:szCs w:val="20"/>
          <w:color w:val="auto"/>
        </w:rPr>
      </w:pPr>
      <w:r>
        <w:rPr>
          <w:rFonts w:ascii="Times New Roman" w:cs="Times New Roman" w:eastAsia="Times New Roman" w:hAnsi="Times New Roman"/>
          <w:sz w:val="14"/>
          <w:szCs w:val="14"/>
          <w:i w:val="1"/>
          <w:iCs w:val="1"/>
          <w:color w:val="auto"/>
        </w:rPr>
        <w:t>(State or other jurisdiction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366" w:lineRule="exact"/>
        <w:rPr>
          <w:sz w:val="24"/>
          <w:szCs w:val="24"/>
          <w:color w:val="auto"/>
        </w:rPr>
      </w:pPr>
    </w:p>
    <w:p>
      <w:pPr>
        <w:sectPr>
          <w:pgSz w:w="11900" w:h="16838" w:orient="portrait"/>
          <w:cols w:equalWidth="0" w:num="2">
            <w:col w:w="6820" w:space="720"/>
            <w:col w:w="3880"/>
          </w:cols>
          <w:pgMar w:left="240" w:top="1029" w:right="239" w:bottom="1440" w:gutter="0" w:footer="0" w:header="0"/>
          <w:type w:val="continuous"/>
        </w:sectPr>
      </w:pPr>
    </w:p>
    <w:p>
      <w:pPr>
        <w:spacing w:after="0" w:line="56"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521 WEST 57TH STREET, NEW YORK, 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10019</w:t>
      </w:r>
    </w:p>
    <w:p>
      <w:pPr>
        <w:spacing w:after="0" w:line="61" w:lineRule="exact"/>
        <w:rPr>
          <w:sz w:val="24"/>
          <w:szCs w:val="24"/>
          <w:color w:val="auto"/>
        </w:rPr>
      </w:pPr>
    </w:p>
    <w:p>
      <w:pPr>
        <w:sectPr>
          <w:pgSz w:w="11900" w:h="16838" w:orient="portrait"/>
          <w:cols w:equalWidth="0" w:num="2">
            <w:col w:w="7620" w:space="720"/>
            <w:col w:w="3080"/>
          </w:cols>
          <w:pgMar w:left="240" w:top="1029" w:right="2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71" w:lineRule="exact"/>
        <w:rPr>
          <w:sz w:val="24"/>
          <w:szCs w:val="24"/>
          <w:color w:val="auto"/>
        </w:rPr>
      </w:pPr>
    </w:p>
    <w:p>
      <w:pPr>
        <w:sectPr>
          <w:pgSz w:w="11900" w:h="16838" w:orient="portrait"/>
          <w:cols w:equalWidth="0" w:num="2">
            <w:col w:w="7540" w:space="720"/>
            <w:col w:w="3160"/>
          </w:cols>
          <w:pgMar w:left="240" w:top="1029"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765-5500</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420"/>
          </w:cols>
          <w:pgMar w:left="240" w:top="1029" w:right="239" w:bottom="1440" w:gutter="0" w:footer="0" w:header="0"/>
          <w:type w:val="continuous"/>
        </w:sectPr>
      </w:pPr>
    </w:p>
    <w:p>
      <w:pPr>
        <w:spacing w:after="0" w:line="180"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8" w:lineRule="exact"/>
        <w:rPr>
          <w:sz w:val="24"/>
          <w:szCs w:val="24"/>
          <w:color w:val="auto"/>
        </w:rPr>
      </w:pPr>
    </w:p>
    <w:p>
      <w:pPr>
        <w:sectPr>
          <w:pgSz w:w="11900" w:h="16838" w:orient="portrait"/>
          <w:cols w:equalWidth="0" w:num="2">
            <w:col w:w="6440" w:space="720"/>
            <w:col w:w="4260"/>
          </w:cols>
          <w:pgMar w:left="240" w:top="1029" w:right="2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7"/>
          <w:szCs w:val="17"/>
          <w:color w:val="auto"/>
        </w:rPr>
        <w:t>Common Stock,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75" w:lineRule="exact"/>
        <w:rPr>
          <w:sz w:val="24"/>
          <w:szCs w:val="24"/>
          <w:color w:val="auto"/>
        </w:rPr>
      </w:pPr>
    </w:p>
    <w:p>
      <w:pPr>
        <w:sectPr>
          <w:pgSz w:w="11900" w:h="16838" w:orient="portrait"/>
          <w:cols w:equalWidth="0" w:num="2">
            <w:col w:w="6880" w:space="720"/>
            <w:col w:w="3820"/>
          </w:cols>
          <w:pgMar w:left="240" w:top="1029" w:right="2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per share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1029" w:right="239" w:bottom="1440" w:gutter="0" w:footer="0" w:header="0"/>
          <w:type w:val="continuous"/>
        </w:sectPr>
      </w:pPr>
    </w:p>
    <w:p>
      <w:pPr>
        <w:spacing w:after="0" w:line="4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5">
            <w:col w:w="8900" w:space="160"/>
            <w:col w:w="260" w:space="100"/>
            <w:col w:w="160" w:space="180"/>
            <w:col w:w="220" w:space="80"/>
            <w:col w:w="1360"/>
          </w:cols>
          <w:pgMar w:left="240" w:top="1029" w:right="239" w:bottom="1440" w:gutter="0" w:footer="0" w:header="0"/>
          <w:type w:val="continuous"/>
        </w:sectPr>
      </w:pPr>
    </w:p>
    <w:p>
      <w:pPr>
        <w:spacing w:after="0" w:line="1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05" w:lineRule="exact"/>
        <w:rPr>
          <w:sz w:val="24"/>
          <w:szCs w:val="24"/>
          <w:color w:val="auto"/>
        </w:rPr>
      </w:pPr>
    </w:p>
    <w:p>
      <w:pPr>
        <w:sectPr>
          <w:pgSz w:w="11900" w:h="16838" w:orient="portrait"/>
          <w:cols w:equalWidth="0" w:num="5">
            <w:col w:w="9060" w:space="160"/>
            <w:col w:w="260" w:space="100"/>
            <w:col w:w="160" w:space="180"/>
            <w:col w:w="220" w:space="80"/>
            <w:col w:w="1200"/>
          </w:cols>
          <w:pgMar w:left="240" w:top="1029" w:right="239" w:bottom="1440" w:gutter="0" w:footer="0" w:header="0"/>
          <w:type w:val="continuous"/>
        </w:sectPr>
      </w:pPr>
    </w:p>
    <w:p>
      <w:pPr>
        <w:ind w:right="4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right="26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8"/>
          <w:szCs w:val="18"/>
          <w:color w:val="auto"/>
        </w:rPr>
        <w:t>☐</w:t>
      </w:r>
    </w:p>
    <w:p>
      <w:pPr>
        <w:spacing w:after="0" w:line="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124" w:lineRule="exact"/>
        <w:rPr>
          <w:sz w:val="24"/>
          <w:szCs w:val="24"/>
          <w:color w:val="auto"/>
        </w:rPr>
      </w:pPr>
    </w:p>
    <w:p>
      <w:pPr>
        <w:ind w:left="440" w:right="740" w:firstLine="250"/>
        <w:spacing w:after="0" w:line="264"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420" w:firstLine="432"/>
        <w:spacing w:after="0" w:line="261" w:lineRule="auto"/>
        <w:rPr>
          <w:sz w:val="20"/>
          <w:szCs w:val="20"/>
          <w:color w:val="auto"/>
        </w:rPr>
      </w:pPr>
      <w:r>
        <w:rPr>
          <w:rFonts w:ascii="Times New Roman" w:cs="Times New Roman" w:eastAsia="Times New Roman" w:hAnsi="Times New Roman"/>
          <w:sz w:val="18"/>
          <w:szCs w:val="18"/>
          <w:color w:val="auto"/>
        </w:rPr>
        <w:t>For the purpose of reporting the following market value of registrant’s outstanding common stock, the term “affiliate” refers to persons, entities or groups which directly or indirectly control, are controlled by, or are under common control with the registrant and does not include individual executive officers, directors or less than 10% shareholders. The aggregate market value of registrant’s common stock not held by affiliates as of June 30, 2014 was $8,472,499,224.</w:t>
      </w:r>
    </w:p>
    <w:p>
      <w:pPr>
        <w:spacing w:after="0" w:line="1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As of February 12, 2015, there were 80,742,973 shares of the registrant’s common stock, par value 12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per share, outstanding.</w:t>
      </w:r>
    </w:p>
    <w:p>
      <w:pPr>
        <w:spacing w:after="0" w:line="1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43" w:lineRule="exact"/>
        <w:rPr>
          <w:sz w:val="24"/>
          <w:szCs w:val="24"/>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for the 2015 Annual Meeting of Shareholders (the “IFF 2015 Proxy Statement”)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0" w:type="dxa"/>
            <w:vAlign w:val="bottom"/>
            <w:gridSpan w:val="11"/>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INTERNATIONAL FLAVORS &amp; FRAGRANCES INC.</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73"/>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Borders>
              <w:bottom w:val="single" w:sz="8" w:color="0000EE"/>
            </w:tcBorders>
          </w:tcPr>
          <w:p>
            <w:pPr>
              <w:spacing w:after="0"/>
              <w:rPr>
                <w:rFonts w:ascii="Times New Roman" w:cs="Times New Roman" w:eastAsia="Times New Roman" w:hAnsi="Times New Roman"/>
                <w:sz w:val="18"/>
                <w:szCs w:val="18"/>
                <w:color w:val="0000EE"/>
                <w:w w:val="87"/>
              </w:rPr>
            </w:pPr>
            <w:hyperlink w:anchor="page3">
              <w:r>
                <w:rPr>
                  <w:rFonts w:ascii="Times New Roman" w:cs="Times New Roman" w:eastAsia="Times New Roman" w:hAnsi="Times New Roman"/>
                  <w:sz w:val="18"/>
                  <w:szCs w:val="18"/>
                  <w:color w:val="0000EE"/>
                  <w:w w:val="87"/>
                </w:rPr>
                <w:t>Business</w:t>
              </w:r>
            </w:hyperlink>
          </w:p>
        </w:tc>
        <w:tc>
          <w:tcPr>
            <w:tcW w:w="8800" w:type="dxa"/>
            <w:vAlign w:val="bottom"/>
            <w:gridSpan w:val="18"/>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4"/>
                <w:szCs w:val="24"/>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40" w:type="dxa"/>
            <w:vAlign w:val="bottom"/>
            <w:gridSpan w:val="3"/>
          </w:tcPr>
          <w:p>
            <w:pPr>
              <w:spacing w:after="0"/>
              <w:rPr>
                <w:rFonts w:ascii="Times New Roman" w:cs="Times New Roman" w:eastAsia="Times New Roman" w:hAnsi="Times New Roman"/>
                <w:sz w:val="18"/>
                <w:szCs w:val="18"/>
                <w:color w:val="0000EE"/>
                <w:w w:val="90"/>
              </w:rPr>
            </w:pPr>
            <w:hyperlink w:anchor="page10">
              <w:r>
                <w:rPr>
                  <w:rFonts w:ascii="Times New Roman" w:cs="Times New Roman" w:eastAsia="Times New Roman" w:hAnsi="Times New Roman"/>
                  <w:sz w:val="18"/>
                  <w:szCs w:val="18"/>
                  <w:color w:val="0000EE"/>
                  <w:w w:val="90"/>
                </w:rPr>
                <w:t>Risk Factors</w:t>
              </w:r>
            </w:hyperlink>
          </w:p>
        </w:tc>
        <w:tc>
          <w:tcPr>
            <w:tcW w:w="8540" w:type="dxa"/>
            <w:vAlign w:val="bottom"/>
            <w:gridSpan w:val="16"/>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10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380" w:type="dxa"/>
            <w:vAlign w:val="bottom"/>
            <w:gridSpan w:val="19"/>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Unresolved Staff Comments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980" w:type="dxa"/>
            <w:vAlign w:val="bottom"/>
            <w:gridSpan w:val="8"/>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Properties</w:t>
              </w:r>
            </w:hyperlink>
          </w:p>
        </w:tc>
        <w:tc>
          <w:tcPr>
            <w:tcW w:w="7400" w:type="dxa"/>
            <w:vAlign w:val="bottom"/>
            <w:gridSpan w:val="11"/>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9"/>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Legal Proceedings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19"/>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Mine Safety Disclosures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21</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18"/>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Market for Registrant’s Common Equity, Related Stockholder Matters and Issuer Purchases of Equity Securities</w:t>
              </w:r>
            </w:hyperlink>
          </w:p>
        </w:tc>
        <w:tc>
          <w:tcPr>
            <w:tcW w:w="1360" w:type="dxa"/>
            <w:vAlign w:val="bottom"/>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18"/>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Selected Financial Data</w:t>
              </w:r>
            </w:hyperlink>
          </w:p>
        </w:tc>
        <w:tc>
          <w:tcPr>
            <w:tcW w:w="1360" w:type="dxa"/>
            <w:vAlign w:val="bottom"/>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24</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gridSpan w:val="15"/>
          </w:tcPr>
          <w:p>
            <w:pPr>
              <w:spacing w:after="0"/>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Management’s Discussion and Analysis of Financial Condition and Results of Operations</w:t>
              </w:r>
            </w:hyperlink>
          </w:p>
        </w:tc>
        <w:tc>
          <w:tcPr>
            <w:tcW w:w="29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3"/>
          </w:tcPr>
          <w:p>
            <w:pPr>
              <w:spacing w:after="0"/>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Quantitative and Qualitative Disclosures About Market Risk</w:t>
              </w:r>
            </w:hyperlink>
          </w:p>
        </w:tc>
        <w:tc>
          <w:tcPr>
            <w:tcW w:w="2100" w:type="dxa"/>
            <w:vAlign w:val="bottom"/>
            <w:gridSpan w:val="2"/>
          </w:tcPr>
          <w:p>
            <w:pPr>
              <w:spacing w:after="0"/>
              <w:rPr>
                <w:sz w:val="24"/>
                <w:szCs w:val="24"/>
                <w:color w:val="auto"/>
              </w:rPr>
            </w:pPr>
          </w:p>
        </w:tc>
        <w:tc>
          <w:tcPr>
            <w:tcW w:w="29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3"/>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Financial Statements and Supplementary Data</w:t>
              </w:r>
            </w:hyperlink>
          </w:p>
        </w:tc>
        <w:tc>
          <w:tcPr>
            <w:tcW w:w="508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20" w:type="dxa"/>
            <w:vAlign w:val="bottom"/>
            <w:gridSpan w:val="16"/>
          </w:tcPr>
          <w:p>
            <w:pPr>
              <w:spacing w:after="0"/>
              <w:rPr>
                <w:rFonts w:ascii="Times New Roman" w:cs="Times New Roman" w:eastAsia="Times New Roman" w:hAnsi="Times New Roman"/>
                <w:sz w:val="18"/>
                <w:szCs w:val="18"/>
                <w:color w:val="0000EE"/>
                <w:w w:val="98"/>
              </w:rPr>
            </w:pPr>
            <w:hyperlink w:anchor="page46">
              <w:r>
                <w:rPr>
                  <w:rFonts w:ascii="Times New Roman" w:cs="Times New Roman" w:eastAsia="Times New Roman" w:hAnsi="Times New Roman"/>
                  <w:sz w:val="18"/>
                  <w:szCs w:val="18"/>
                  <w:color w:val="0000EE"/>
                  <w:w w:val="98"/>
                </w:rPr>
                <w:t>Changes in and Disagreements with Accountants on Accounting and Financial Disclosure</w:t>
              </w:r>
            </w:hyperlink>
          </w:p>
        </w:tc>
        <w:tc>
          <w:tcPr>
            <w:tcW w:w="29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20" w:type="dxa"/>
            <w:vAlign w:val="bottom"/>
            <w:gridSpan w:val="16"/>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Controls and Procedures</w:t>
              </w:r>
            </w:hyperlink>
          </w:p>
        </w:tc>
        <w:tc>
          <w:tcPr>
            <w:tcW w:w="29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00" w:type="dxa"/>
            <w:vAlign w:val="bottom"/>
            <w:gridSpan w:val="6"/>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Other Information</w:t>
              </w:r>
            </w:hyperlink>
          </w:p>
        </w:tc>
        <w:tc>
          <w:tcPr>
            <w:tcW w:w="768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47</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380" w:type="dxa"/>
            <w:vAlign w:val="bottom"/>
            <w:gridSpan w:val="19"/>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Directors, Executive Officers and Corporate Governance</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740" w:type="dxa"/>
            <w:vAlign w:val="bottom"/>
            <w:gridSpan w:val="7"/>
          </w:tcPr>
          <w:p>
            <w:pPr>
              <w:spacing w:after="0"/>
              <w:rPr>
                <w:rFonts w:ascii="Times New Roman" w:cs="Times New Roman" w:eastAsia="Times New Roman" w:hAnsi="Times New Roman"/>
                <w:sz w:val="18"/>
                <w:szCs w:val="18"/>
                <w:color w:val="0000EE"/>
                <w:w w:val="95"/>
              </w:rPr>
            </w:pPr>
            <w:hyperlink w:anchor="page48">
              <w:r>
                <w:rPr>
                  <w:rFonts w:ascii="Times New Roman" w:cs="Times New Roman" w:eastAsia="Times New Roman" w:hAnsi="Times New Roman"/>
                  <w:sz w:val="18"/>
                  <w:szCs w:val="18"/>
                  <w:color w:val="0000EE"/>
                  <w:w w:val="95"/>
                </w:rPr>
                <w:t>Executive Compensation</w:t>
              </w:r>
            </w:hyperlink>
          </w:p>
        </w:tc>
        <w:tc>
          <w:tcPr>
            <w:tcW w:w="2280" w:type="dxa"/>
            <w:vAlign w:val="bottom"/>
            <w:gridSpan w:val="5"/>
          </w:tcPr>
          <w:p>
            <w:pPr>
              <w:spacing w:after="0"/>
              <w:rPr>
                <w:sz w:val="24"/>
                <w:szCs w:val="24"/>
                <w:color w:val="auto"/>
              </w:rPr>
            </w:pPr>
          </w:p>
        </w:tc>
        <w:tc>
          <w:tcPr>
            <w:tcW w:w="5360" w:type="dxa"/>
            <w:vAlign w:val="bottom"/>
            <w:gridSpan w:val="7"/>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380" w:type="dxa"/>
            <w:vAlign w:val="bottom"/>
            <w:gridSpan w:val="19"/>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17"/>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Certain Relationships and Related Transactions and Director Independence</w:t>
              </w:r>
            </w:hyperlink>
          </w:p>
        </w:tc>
        <w:tc>
          <w:tcPr>
            <w:tcW w:w="2160" w:type="dxa"/>
            <w:vAlign w:val="bottom"/>
            <w:gridSpan w:val="2"/>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340" w:type="dxa"/>
            <w:vAlign w:val="bottom"/>
            <w:gridSpan w:val="14"/>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Principal Accountant Fees and Services</w:t>
              </w:r>
            </w:hyperlink>
          </w:p>
        </w:tc>
        <w:tc>
          <w:tcPr>
            <w:tcW w:w="404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00" w:type="dxa"/>
            <w:vAlign w:val="bottom"/>
            <w:gridSpan w:val="10"/>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Exhibits and Financial Statement Schedules</w:t>
              </w:r>
            </w:hyperlink>
          </w:p>
        </w:tc>
        <w:tc>
          <w:tcPr>
            <w:tcW w:w="6280" w:type="dxa"/>
            <w:vAlign w:val="bottom"/>
            <w:gridSpan w:val="9"/>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100" w:type="dxa"/>
            <w:vAlign w:val="bottom"/>
            <w:gridSpan w:val="10"/>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rFonts w:ascii="Times New Roman" w:cs="Times New Roman" w:eastAsia="Times New Roman" w:hAnsi="Times New Roman"/>
                <w:sz w:val="18"/>
                <w:szCs w:val="18"/>
                <w:color w:val="0000EE"/>
                <w:w w:val="94"/>
              </w:rPr>
            </w:pPr>
            <w:hyperlink w:anchor="page89">
              <w:r>
                <w:rPr>
                  <w:rFonts w:ascii="Times New Roman" w:cs="Times New Roman" w:eastAsia="Times New Roman" w:hAnsi="Times New Roman"/>
                  <w:sz w:val="18"/>
                  <w:szCs w:val="18"/>
                  <w:color w:val="0000EE"/>
                  <w:w w:val="94"/>
                </w:rPr>
                <w:t>SIGNATURES</w:t>
              </w:r>
            </w:hyperlink>
          </w:p>
        </w:tc>
        <w:tc>
          <w:tcPr>
            <w:tcW w:w="938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90</w:t>
              </w:r>
            </w:hyperlink>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76" w:right="239" w:bottom="1440" w:gutter="0" w:footer="0" w:header="0"/>
        </w:sectPr>
      </w:pP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80" w:top="576" w:right="2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i w:val="1"/>
          <w:iCs w:val="1"/>
          <w:color w:val="auto"/>
        </w:rPr>
        <w:t>When used in this report, the terms “IFF,” “the Company,” “we,” “us” and “our” mean International Flavors &amp; Fragrances Inc., and its subsidiaries.</w:t>
      </w:r>
    </w:p>
    <w:p>
      <w:pPr>
        <w:spacing w:after="0" w:line="37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create, manufacture and supply flavors and fragrances for the food, beverage, personal care and household products industries either in the form of compounds or individual ingredients. Our flavors and fragrances compounds combine a large number of ingredients that are blended, mixed or reacted together to produce proprietary formulas created by our perfumers and flavorists. Utilizing our capabilities in consumer insight, research and product development (“R&amp;D”) and creative expertise, we collaborate with our customers to drive consumer preference for our customers’ brands. This collaboration in turn helps bolster our customers’ market share and grow equity in their brand portfolio.</w:t>
      </w:r>
    </w:p>
    <w:p>
      <w:pPr>
        <w:spacing w:after="0" w:line="184"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global market for flavors and fragrances has expanded consistently, primarily as a result of an increase in demand for, as well as an increase in the variety of, consumer products containing flavors and fragrances. The flavors and fragrances market is part of a larger market which supplies a variety of ingredients and components that consumer products companies utilize in their products. The broader market includes large multinational companies and smaller regional and local participants which supply products such as seasonings, texturizers, spices, enzymes, certain food related commodities, fortified products and cosmetic ingredients. In 2014, we achieved sales of approximately $3.1 billion, making us one of the top four companies in the global flavors and fragrances sub-segment of the broader ingredients and compounds market. Within the flavors and fragrances sub-segment of this broader market, the top four companies comprise approximately two-thirds of the total estimated sales. We believe that our diversified business platform consisting of expansive geographic coverage, a broad product portfolio and a global and regional customer base, positions us to achieve long-term growth as the flavors and fragrances markets expand.</w:t>
      </w:r>
    </w:p>
    <w:p>
      <w:pPr>
        <w:spacing w:after="0" w:line="18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With operations in 32 different countries worldwide and approximately 6,200 employees, we collaborate with our customers to serve consumers in more than 100 countries. We operate in two business segments, Flavors and Fragrances, with sales to customers in the four regions set forth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of 2014 Sales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Europe, Africa, Middle East</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860" w:type="dxa"/>
            <w:vAlign w:val="bottom"/>
            <w:gridSpan w:val="3"/>
            <w:vMerge w:val="continue"/>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Greater Asia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9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Latin America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have a strong commitment to emerging markets. We believe that significant future growth potential for the flavors and fragrances industry, and for our business, exists in the emerging markets (all markets except North America, Japan, Australia, and Western, Southern and Northern Europe). Over the past five years our local currency growth rate in emerging markets has significantly outpaced that of developed markets. We expect this trend to continue for the foreseeable future. The emerging market local currency growth rate in 2014 was 6%. We have had operations in some of the largest emerging markets for multiple decades. As a result of these established operations, sales in emerging markets represented 50% of 2014 sales, up from 49% in 2013. As our customers in emerging markets grow their businesses, they will have the ability to leverage our long-standing presence and our extensive market knowledge to help drive their brands.</w:t>
      </w:r>
    </w:p>
    <w:p>
      <w:pPr>
        <w:spacing w:after="0" w:line="18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believe we have a diversified product and customer portfolio that provides us with greater stability and growth potential across a variety of economic environments. In 2014, our Flavors business represented 47% of our sales, while our Fragrances business represented 53% of sales. During 2014, our 25 largest customers accounted for 53% of our sales. Sales to our largest customer accounted for 12%, 12% and 11% of our sales in 2014, 2013 and 2012, respectively. Such sales were largely in our Fragrances business.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financial information about our operating segments and the geographic areas in which we do business, please see Note 12 of our Consolidated Financial Statements included in this Form 10-K.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Strategic Priorities</w:t>
      </w:r>
    </w:p>
    <w:p>
      <w:pPr>
        <w:spacing w:after="0" w:line="22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are focused on generating sustainable profitable growth across our business. We believe that we can continue to deliver returns above cost of capital on a long-term basis and increase shareholder value by leveraging our geographic reach, strengthening our innovation platform and maximizing our portfolio. We are in the process of refreshing the key elements of our strategic priorities, which are the following:</w:t>
      </w:r>
    </w:p>
    <w:p>
      <w:pPr>
        <w:spacing w:after="0" w:line="37" w:lineRule="exact"/>
        <w:rPr>
          <w:sz w:val="20"/>
          <w:szCs w:val="20"/>
          <w:color w:val="auto"/>
        </w:rPr>
      </w:pPr>
    </w:p>
    <w:p>
      <w:pPr>
        <w:ind w:left="740" w:hanging="327"/>
        <w:spacing w:after="0" w:line="254" w:lineRule="auto"/>
        <w:tabs>
          <w:tab w:leader="none" w:pos="7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Leverage geographic reach: </w:t>
      </w:r>
      <w:r>
        <w:rPr>
          <w:rFonts w:ascii="Times New Roman" w:cs="Times New Roman" w:eastAsia="Times New Roman" w:hAnsi="Times New Roman"/>
          <w:sz w:val="18"/>
          <w:szCs w:val="18"/>
          <w:color w:val="auto"/>
        </w:rPr>
        <w:t>Our strong geographic reach allows us to capture the benefits of attractive population growth and wealth creation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emerging markets, representing a key component of our growth plan. In emerging markets, strong GDP growth and a significant expansion of the middle-class consumer are increasing the demand for better-flavored and fragranced consumer products. To support this trend, we have made significant investments in emerging markets. Since 2008, we have opened eight state-of-the-art creative centers in Shanghai, Sao Paulo, Moscow, Singapore, Mumbai, Delhi, Chengdu, and Beijing. We continue to invest in the fast growing region of Greater Asia. In 2013, we opened a new flavors manufacturing facility in Guangzhou, China, which followed the 2012 opening of our new flavor and fragrance facility in Singapore, both of which are part of a more than $100 million investment in Greater Asia. We also announced a $50 million investment to fund our expansion in Indonesia, bringing our total investment in Greater Asia to more than $150 million. We also continued toward the completion of our more than $50 million expansion in Turkey, expected to be completed in 2015. We expect that the emerging markets will represent more than half of our annual sales in 2015, as we estimate that growth potential in these markets will outpace the expected growth in the developed markets.</w:t>
      </w:r>
    </w:p>
    <w:p>
      <w:pPr>
        <w:spacing w:after="0" w:line="51" w:lineRule="exact"/>
        <w:rPr>
          <w:rFonts w:ascii="Times New Roman" w:cs="Times New Roman" w:eastAsia="Times New Roman" w:hAnsi="Times New Roman"/>
          <w:sz w:val="18"/>
          <w:szCs w:val="18"/>
          <w:b w:val="1"/>
          <w:bCs w:val="1"/>
          <w:color w:val="auto"/>
        </w:rPr>
      </w:pPr>
    </w:p>
    <w:p>
      <w:pPr>
        <w:ind w:left="740" w:hanging="327"/>
        <w:spacing w:after="0" w:line="255"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innovation platform: </w:t>
      </w:r>
      <w:r>
        <w:rPr>
          <w:rFonts w:ascii="Times New Roman" w:cs="Times New Roman" w:eastAsia="Times New Roman" w:hAnsi="Times New Roman"/>
          <w:sz w:val="18"/>
          <w:szCs w:val="18"/>
          <w:color w:val="auto"/>
        </w:rPr>
        <w:t>We continue to focus on creating innovative and distinctive products that meet consumer needs and drive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preference for our customers’ brands. We have been strengthening our platforms by leveraging our knowledge of consumer trends to direct ten key research platforms that address current and expected future needs of consumers. We in turn use our customer-centric knowledge and research platforms to drive technological development and create a cost-effective product portfolio. We anticipate that this focus on innovation will be instrumental in meeting future consumer needs, thereby driving our customers' growth and in turn market share gains for both IFF and our customers. To capture these opportunities in Flavors, we are focusing on key flavor systems technologies to provide consumers with healthier solutions and an enhanced taste experience. In Fragrances, we are focusing on ingredients, including our naturals portfolio, as well as our delivery systems. In 2014, we acquired Aromor Flavors and Fragrances Ltd. ("Aromor"), a manufacturer and marketer of complex specialty ingredients that are used in fragrances and flavors, to provide us with cost-effective, quality ingredients to use in our compounds creations.</w:t>
      </w:r>
    </w:p>
    <w:p>
      <w:pPr>
        <w:spacing w:after="0" w:line="46" w:lineRule="exact"/>
        <w:rPr>
          <w:rFonts w:ascii="Times New Roman" w:cs="Times New Roman" w:eastAsia="Times New Roman" w:hAnsi="Times New Roman"/>
          <w:sz w:val="18"/>
          <w:szCs w:val="18"/>
          <w:color w:val="auto"/>
        </w:rPr>
      </w:pPr>
    </w:p>
    <w:p>
      <w:pPr>
        <w:ind w:left="740" w:hanging="327"/>
        <w:spacing w:after="0" w:line="26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Maximize portfolio: </w:t>
      </w:r>
      <w:r>
        <w:rPr>
          <w:rFonts w:ascii="Times New Roman" w:cs="Times New Roman" w:eastAsia="Times New Roman" w:hAnsi="Times New Roman"/>
          <w:sz w:val="18"/>
          <w:szCs w:val="18"/>
          <w:color w:val="auto"/>
        </w:rPr>
        <w:t>We believe in a disciplined, analytical approach toward value creation to maximize our portfolio and drive sustained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profitable growth. We continuously look for and identify opportunities to strengthen and grow the business through internal improvements, disciplined allocation of resources towards advantaged categories, customers and/or markets, working capital management and return-based capital investments.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Offerings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Flavors</w:t>
      </w:r>
    </w:p>
    <w:p>
      <w:pPr>
        <w:spacing w:after="0" w:line="31" w:lineRule="exact"/>
        <w:rPr>
          <w:sz w:val="20"/>
          <w:szCs w:val="20"/>
          <w:color w:val="auto"/>
        </w:rPr>
      </w:pPr>
    </w:p>
    <w:p>
      <w:pPr>
        <w:ind w:right="300" w:firstLine="392"/>
        <w:spacing w:after="0" w:line="250" w:lineRule="auto"/>
        <w:rPr>
          <w:sz w:val="20"/>
          <w:szCs w:val="20"/>
          <w:color w:val="auto"/>
        </w:rPr>
      </w:pPr>
      <w:r>
        <w:rPr>
          <w:rFonts w:ascii="Times New Roman" w:cs="Times New Roman" w:eastAsia="Times New Roman" w:hAnsi="Times New Roman"/>
          <w:sz w:val="18"/>
          <w:szCs w:val="18"/>
          <w:color w:val="auto"/>
        </w:rPr>
        <w:t>Flavors are the key building blocks that impart taste in processed food and beverage products and, as such, play a significant role in determining consumer preference of the end products in which they are used. While we are a global leader, our Flavors business is regional in nature, with different formulas that reflect local taste and ingredients. As a leading creator of flavor compounds, we help our customers deliver on the promise of delicious and healthy foods and drinks that appeal to consumers. Our Flavors compounds are ultimately used by our customers in four end-use categories: (1) Savory,</w:t>
      </w:r>
    </w:p>
    <w:p>
      <w:pPr>
        <w:spacing w:after="0" w:line="2" w:lineRule="exact"/>
        <w:rPr>
          <w:sz w:val="20"/>
          <w:szCs w:val="20"/>
          <w:color w:val="auto"/>
        </w:rPr>
      </w:pPr>
    </w:p>
    <w:p>
      <w:pPr>
        <w:ind w:right="340" w:firstLine="8"/>
        <w:spacing w:after="0" w:line="255"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Beverages, (3) Sweet, pharmaceutical and oral care (“Sweet”), and (4) Dairy. We create our flavors in our regional creative and technical centers that allow us to satisfy local taste preferences, while also helping to ensure regulatory compliance and production standards. We also manufacture a limited amount of flavor ingredients for our use in developing flavor compounds.</w:t>
      </w:r>
    </w:p>
    <w:p>
      <w:pPr>
        <w:spacing w:after="0" w:line="184" w:lineRule="exact"/>
        <w:rPr>
          <w:rFonts w:ascii="Times New Roman" w:cs="Times New Roman" w:eastAsia="Times New Roman" w:hAnsi="Times New Roman"/>
          <w:sz w:val="18"/>
          <w:szCs w:val="18"/>
          <w:color w:val="auto"/>
        </w:rPr>
      </w:pPr>
    </w:p>
    <w:p>
      <w:pPr>
        <w:ind w:left="720" w:right="320" w:hanging="320"/>
        <w:spacing w:after="0" w:line="284" w:lineRule="auto"/>
        <w:tabs>
          <w:tab w:leader="none" w:pos="7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Savory </w:t>
      </w:r>
      <w:r>
        <w:rPr>
          <w:rFonts w:ascii="Times New Roman" w:cs="Times New Roman" w:eastAsia="Times New Roman" w:hAnsi="Times New Roman"/>
          <w:sz w:val="18"/>
          <w:szCs w:val="18"/>
          <w:color w:val="auto"/>
        </w:rPr>
        <w:t>- We produce flavors which are used in soups, sauces, condiments, prepared meals, meat and poultry, and potato chips and other savory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snacks.</w:t>
      </w:r>
    </w:p>
    <w:p>
      <w:pPr>
        <w:spacing w:after="0" w:line="158" w:lineRule="exact"/>
        <w:rPr>
          <w:rFonts w:ascii="Times New Roman" w:cs="Times New Roman" w:eastAsia="Times New Roman" w:hAnsi="Times New Roman"/>
          <w:sz w:val="18"/>
          <w:szCs w:val="18"/>
          <w:color w:val="auto"/>
        </w:rPr>
      </w:pPr>
    </w:p>
    <w:p>
      <w:pPr>
        <w:ind w:left="720" w:right="60" w:hanging="320"/>
        <w:spacing w:after="0" w:line="284" w:lineRule="auto"/>
        <w:tabs>
          <w:tab w:leader="none" w:pos="720" w:val="left"/>
        </w:tabs>
        <w:numPr>
          <w:ilvl w:val="1"/>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Beverages </w:t>
      </w:r>
      <w:r>
        <w:rPr>
          <w:rFonts w:ascii="Times New Roman" w:cs="Times New Roman" w:eastAsia="Times New Roman" w:hAnsi="Times New Roman"/>
          <w:sz w:val="18"/>
          <w:szCs w:val="18"/>
          <w:color w:val="auto"/>
        </w:rPr>
        <w:t>- We create flavors for juice drinks, carbonated beverages, flavored waters and spirits and have creative expertise dedicated to beverage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flavor systems.</w:t>
      </w:r>
    </w:p>
    <w:p>
      <w:pPr>
        <w:spacing w:after="0" w:line="158" w:lineRule="exact"/>
        <w:rPr>
          <w:rFonts w:ascii="Times New Roman" w:cs="Times New Roman" w:eastAsia="Times New Roman" w:hAnsi="Times New Roman"/>
          <w:sz w:val="18"/>
          <w:szCs w:val="18"/>
          <w:i w:val="1"/>
          <w:iCs w:val="1"/>
          <w:color w:val="auto"/>
        </w:rPr>
      </w:pPr>
    </w:p>
    <w:p>
      <w:pPr>
        <w:ind w:left="720" w:right="260" w:hanging="320"/>
        <w:spacing w:after="0" w:line="315" w:lineRule="auto"/>
        <w:tabs>
          <w:tab w:leader="none" w:pos="720" w:val="left"/>
        </w:tabs>
        <w:numPr>
          <w:ilvl w:val="1"/>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Sweet </w:t>
      </w:r>
      <w:r>
        <w:rPr>
          <w:rFonts w:ascii="Times New Roman" w:cs="Times New Roman" w:eastAsia="Times New Roman" w:hAnsi="Times New Roman"/>
          <w:sz w:val="17"/>
          <w:szCs w:val="17"/>
          <w:color w:val="auto"/>
        </w:rPr>
        <w:t>- We create innovative flavor concepts and heat-stable flavors for bakery products, as well as candy, chewing gum and cereal, which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distinctive sweet tastes. For pharmaceutical and oral care products, we produce flavors for products such as toothpaste and mouthwash.</w:t>
      </w: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240" w:top="738" w:right="319" w:bottom="1440" w:gutter="0" w:footer="0" w:header="0"/>
        </w:sectPr>
      </w:pPr>
    </w:p>
    <w:bookmarkStart w:id="4" w:name="page5"/>
    <w:bookmarkEnd w:id="4"/>
    <w:p>
      <w:pPr>
        <w:ind w:left="720" w:right="220" w:hanging="320"/>
        <w:spacing w:after="0" w:line="315" w:lineRule="auto"/>
        <w:tabs>
          <w:tab w:leader="none" w:pos="720"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Dairy </w:t>
      </w:r>
      <w:r>
        <w:rPr>
          <w:rFonts w:ascii="Times New Roman" w:cs="Times New Roman" w:eastAsia="Times New Roman" w:hAnsi="Times New Roman"/>
          <w:sz w:val="17"/>
          <w:szCs w:val="17"/>
          <w:color w:val="auto"/>
        </w:rPr>
        <w:t>- We offer a complete range of value-added compounded flavors for all dairy applications, including yogurt, ice cream, cheese, cream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butter flavor. We also offer a wide range of quality vanilla extracts and a variety of flavor solutions that build on our understanding of vanilla.</w:t>
      </w:r>
    </w:p>
    <w:p>
      <w:pPr>
        <w:spacing w:after="0" w:line="137" w:lineRule="exact"/>
        <w:rPr>
          <w:sz w:val="20"/>
          <w:szCs w:val="20"/>
          <w:color w:val="auto"/>
        </w:rPr>
      </w:pPr>
    </w:p>
    <w:p>
      <w:pPr>
        <w:ind w:right="20" w:firstLine="392"/>
        <w:spacing w:after="0" w:line="256" w:lineRule="auto"/>
        <w:rPr>
          <w:sz w:val="20"/>
          <w:szCs w:val="20"/>
          <w:color w:val="auto"/>
        </w:rPr>
      </w:pPr>
      <w:r>
        <w:rPr>
          <w:rFonts w:ascii="Times New Roman" w:cs="Times New Roman" w:eastAsia="Times New Roman" w:hAnsi="Times New Roman"/>
          <w:sz w:val="18"/>
          <w:szCs w:val="18"/>
          <w:color w:val="auto"/>
        </w:rPr>
        <w:t>We develop thousands of different flavors and taste offerings for our customers, most of which are tailor-made. We continuously develop new formulas in order to meet changing consumer preferences and customer needs. Consumers, especially those in developed markets such as the United States and Western Europe, are increasingly seeking to focus on products which promote health and wellness. They want food and beverage products that are both good for them and taste good. Our objective is to capture a significant share of this shift in consumer demand by capitalizing on the ability of our naturals and proprietary ingredients and flavor systems technologies to provide consumers with healthier solutions without changing the taste experience of the food or beverage.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Fragrances</w:t>
      </w:r>
    </w:p>
    <w:p>
      <w:pPr>
        <w:spacing w:after="0" w:line="229" w:lineRule="exact"/>
        <w:rPr>
          <w:sz w:val="20"/>
          <w:szCs w:val="20"/>
          <w:color w:val="auto"/>
        </w:rPr>
      </w:pPr>
    </w:p>
    <w:p>
      <w:pPr>
        <w:ind w:right="220" w:firstLine="392"/>
        <w:spacing w:after="0" w:line="266" w:lineRule="auto"/>
        <w:rPr>
          <w:sz w:val="20"/>
          <w:szCs w:val="20"/>
          <w:color w:val="auto"/>
        </w:rPr>
      </w:pPr>
      <w:r>
        <w:rPr>
          <w:rFonts w:ascii="Times New Roman" w:cs="Times New Roman" w:eastAsia="Times New Roman" w:hAnsi="Times New Roman"/>
          <w:sz w:val="18"/>
          <w:szCs w:val="18"/>
          <w:color w:val="auto"/>
        </w:rPr>
        <w:t>We are a global leader in the creation of fragrances. Our fragrances are a key component in the world’s finest perfumes and best-known consumer brands, including fabric care, home care, personal wash, hair care and toiletries. Our Fragrances business consists of Fragrance Compounds and Fragrance Ingredients.</w:t>
      </w:r>
    </w:p>
    <w:p>
      <w:pPr>
        <w:spacing w:after="0" w:line="39" w:lineRule="exact"/>
        <w:rPr>
          <w:sz w:val="20"/>
          <w:szCs w:val="20"/>
          <w:color w:val="auto"/>
        </w:rPr>
      </w:pPr>
    </w:p>
    <w:p>
      <w:pPr>
        <w:ind w:left="740" w:right="220" w:hanging="327"/>
        <w:spacing w:after="0" w:line="267"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Fragrance Compounds </w:t>
      </w:r>
      <w:r>
        <w:rPr>
          <w:rFonts w:ascii="Times New Roman" w:cs="Times New Roman" w:eastAsia="Times New Roman" w:hAnsi="Times New Roman"/>
          <w:sz w:val="18"/>
          <w:szCs w:val="18"/>
          <w:color w:val="auto"/>
        </w:rPr>
        <w:t>— In 2014, we realigned our creative and commercial teams within Fragrance Compounds into two broad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Fine Fragrances and Consumer Fragrances. Fragrance Compounds refers to our fragrance compounds that are ultimately used by our customers in these two market categories.</w:t>
      </w:r>
    </w:p>
    <w:p>
      <w:pPr>
        <w:spacing w:after="0" w:line="38" w:lineRule="exact"/>
        <w:rPr>
          <w:rFonts w:ascii="Times New Roman" w:cs="Times New Roman" w:eastAsia="Times New Roman" w:hAnsi="Times New Roman"/>
          <w:sz w:val="18"/>
          <w:szCs w:val="18"/>
          <w:color w:val="auto"/>
        </w:rPr>
      </w:pPr>
    </w:p>
    <w:p>
      <w:pPr>
        <w:ind w:left="1300" w:right="460" w:hanging="320"/>
        <w:spacing w:after="0" w:line="284" w:lineRule="auto"/>
        <w:tabs>
          <w:tab w:leader="none" w:pos="1300" w:val="left"/>
        </w:tabs>
        <w:numPr>
          <w:ilvl w:val="1"/>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Fine Fragrances </w:t>
      </w:r>
      <w:r>
        <w:rPr>
          <w:rFonts w:ascii="Times New Roman" w:cs="Times New Roman" w:eastAsia="Times New Roman" w:hAnsi="Times New Roman"/>
          <w:sz w:val="18"/>
          <w:szCs w:val="18"/>
          <w:color w:val="auto"/>
        </w:rPr>
        <w:t>— We have created some of the industry-leading fine fragrance classics as well as cutting-edge niche fragrances,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evidenced by our number of top sellers and the success of our new launches.</w:t>
      </w:r>
    </w:p>
    <w:p>
      <w:pPr>
        <w:spacing w:after="0" w:line="23" w:lineRule="exact"/>
        <w:rPr>
          <w:rFonts w:ascii="Times New Roman" w:cs="Times New Roman" w:eastAsia="Times New Roman" w:hAnsi="Times New Roman"/>
          <w:sz w:val="18"/>
          <w:szCs w:val="18"/>
          <w:i w:val="1"/>
          <w:iCs w:val="1"/>
          <w:color w:val="auto"/>
        </w:rPr>
      </w:pPr>
    </w:p>
    <w:p>
      <w:pPr>
        <w:ind w:left="1300" w:right="120" w:hanging="320"/>
        <w:spacing w:after="0" w:line="267" w:lineRule="auto"/>
        <w:tabs>
          <w:tab w:leader="none" w:pos="1300" w:val="left"/>
        </w:tabs>
        <w:numPr>
          <w:ilvl w:val="1"/>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Consumer Fragrances </w:t>
      </w:r>
      <w:r>
        <w:rPr>
          <w:rFonts w:ascii="Times New Roman" w:cs="Times New Roman" w:eastAsia="Times New Roman" w:hAnsi="Times New Roman"/>
          <w:sz w:val="18"/>
          <w:szCs w:val="18"/>
          <w:color w:val="auto"/>
        </w:rPr>
        <w:t>— Our consumer fragrances include five end-use categories of products: (1) Fabric Care, including laundry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detergents, fabric softeners and specialty laundry products; (2) Home Care, including household cleaners, dishwashing detergents and air fresheners; (3) Personal Wash, including bar soap and shower gel; (4) Hair Care; and (5) Toiletries.</w:t>
      </w:r>
    </w:p>
    <w:p>
      <w:pPr>
        <w:spacing w:after="0" w:line="38" w:lineRule="exact"/>
        <w:rPr>
          <w:rFonts w:ascii="Times New Roman" w:cs="Times New Roman" w:eastAsia="Times New Roman" w:hAnsi="Times New Roman"/>
          <w:sz w:val="18"/>
          <w:szCs w:val="18"/>
          <w:i w:val="1"/>
          <w:iCs w:val="1"/>
          <w:color w:val="auto"/>
        </w:rPr>
      </w:pPr>
    </w:p>
    <w:p>
      <w:pPr>
        <w:ind w:left="740" w:hanging="327"/>
        <w:spacing w:after="0" w:line="254"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Fragrance Ingredients </w:t>
      </w:r>
      <w:r>
        <w:rPr>
          <w:rFonts w:ascii="Times New Roman" w:cs="Times New Roman" w:eastAsia="Times New Roman" w:hAnsi="Times New Roman"/>
          <w:sz w:val="18"/>
          <w:szCs w:val="18"/>
          <w:color w:val="auto"/>
        </w:rPr>
        <w:t>— We create, develop and manufacture a broad portfolio of innovative, high-quality and cost-effective fragrance, and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much smaller extent flavor, ingredients, for internal use in our compound businesses and for external use in preparation of compounds by our customers and other third parties, including our competitors. With over 1,200 separate fragrance ingredients, we believe that we lead the industry with the breadth of our product portfolio. We manufacture our ingredients through our global network of production facilities and continue to work to optimize our manufacturing processes, as we have done during the year through the closure of our Augusta facility. We believe that this network gives us the flexibility to make products in different locations while maintaining the same high and consistent standards of product quality. We will continue to look for opportunities to strengthen this component of our portfolio, particularly in the specialty chemicals area, as evidenced by our 2014 acquisition of Aromor, while at the same time ensuring we maintain a cost-effective portfolio, particularly in the price sensitive commodities component.</w:t>
      </w:r>
    </w:p>
    <w:p>
      <w:pPr>
        <w:spacing w:after="0" w:line="19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in-house naturals operations, led by Laboratoire Monique Rémy (“LMR”) in Grasse, France, are industry leading in the processing quality materials and offer decades of experience understanding natural products and perfecting the process of transforming naturals, such as narcissus, jasmine and blackcurrant bud, into pure absolutes that retain the unique fragrance of their origin.</w:t>
      </w:r>
    </w:p>
    <w:p>
      <w:pPr>
        <w:spacing w:after="0" w:line="176" w:lineRule="exact"/>
        <w:rPr>
          <w:sz w:val="20"/>
          <w:szCs w:val="20"/>
          <w:color w:val="auto"/>
        </w:rPr>
      </w:pPr>
    </w:p>
    <w:p>
      <w:pPr>
        <w:ind w:right="80" w:firstLine="392"/>
        <w:spacing w:after="0" w:line="258" w:lineRule="auto"/>
        <w:rPr>
          <w:sz w:val="20"/>
          <w:szCs w:val="20"/>
          <w:color w:val="auto"/>
        </w:rPr>
      </w:pPr>
      <w:r>
        <w:rPr>
          <w:rFonts w:ascii="Times New Roman" w:cs="Times New Roman" w:eastAsia="Times New Roman" w:hAnsi="Times New Roman"/>
          <w:sz w:val="18"/>
          <w:szCs w:val="18"/>
          <w:color w:val="auto"/>
        </w:rPr>
        <w:t>Our perfumers have access to our large portfolio of innovative, high-quality and cost-effective ingredients to support their creativity, which in turn provides our customers with a unique identity for their brands. We also create innovative delivery systems, including (i) our proprietary encapsulation technology, which consists of individual fragrance droplets coated with a protective polymetric shell to deliver superior fragrance performance throughout a product’s lifecycle and (ii) our exclusive polymer delivery system, PolyIFF, which is a “solid fragrance” technology that allows us to add scent to functional or molded plastic.</w:t>
      </w:r>
    </w:p>
    <w:p>
      <w:pPr>
        <w:spacing w:after="0" w:line="184" w:lineRule="exact"/>
        <w:rPr>
          <w:sz w:val="20"/>
          <w:szCs w:val="20"/>
          <w:color w:val="auto"/>
        </w:rPr>
      </w:pPr>
    </w:p>
    <w:p>
      <w:pPr>
        <w:ind w:right="160" w:firstLine="392"/>
        <w:spacing w:after="0" w:line="266" w:lineRule="auto"/>
        <w:rPr>
          <w:sz w:val="20"/>
          <w:szCs w:val="20"/>
          <w:color w:val="auto"/>
        </w:rPr>
      </w:pPr>
      <w:r>
        <w:rPr>
          <w:rFonts w:ascii="Times New Roman" w:cs="Times New Roman" w:eastAsia="Times New Roman" w:hAnsi="Times New Roman"/>
          <w:sz w:val="18"/>
          <w:szCs w:val="18"/>
          <w:color w:val="auto"/>
        </w:rPr>
        <w:t>We also collaborate with some of the world’s leading art and fashion schools to tap into the creative minds of the future leaders of fashion and design. We collaborate with scientists, writers, artists, musicians and film-makers to expose our perfumers to new and constantly evolving creative territories and approaches.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578"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Core Competencies</w:t>
      </w:r>
    </w:p>
    <w:p>
      <w:pPr>
        <w:spacing w:after="0" w:line="229" w:lineRule="exact"/>
        <w:rPr>
          <w:sz w:val="20"/>
          <w:szCs w:val="20"/>
          <w:color w:val="auto"/>
        </w:rPr>
      </w:pPr>
    </w:p>
    <w:p>
      <w:pPr>
        <w:ind w:right="260" w:firstLine="392"/>
        <w:spacing w:after="0" w:line="261" w:lineRule="auto"/>
        <w:rPr>
          <w:sz w:val="20"/>
          <w:szCs w:val="20"/>
          <w:color w:val="auto"/>
        </w:rPr>
      </w:pPr>
      <w:r>
        <w:rPr>
          <w:rFonts w:ascii="Times New Roman" w:cs="Times New Roman" w:eastAsia="Times New Roman" w:hAnsi="Times New Roman"/>
          <w:sz w:val="18"/>
          <w:szCs w:val="18"/>
          <w:color w:val="auto"/>
        </w:rPr>
        <w:t>We focus on five core competencies that we believe enable us to (i) successfully provide our customers with superior products, (ii) drive productivity and efficiency gains and (iii) improve our margins and our cash flow. In that regard, we strive to:</w:t>
      </w:r>
    </w:p>
    <w:p>
      <w:pPr>
        <w:ind w:left="740" w:right="140" w:hanging="327"/>
        <w:spacing w:after="0" w:line="251" w:lineRule="auto"/>
        <w:tabs>
          <w:tab w:leader="none" w:pos="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 a deep understanding of consumers’ preferences, values and branding</w:t>
      </w:r>
      <w:r>
        <w:rPr>
          <w:rFonts w:ascii="Times New Roman" w:cs="Times New Roman" w:eastAsia="Times New Roman" w:hAnsi="Times New Roman"/>
          <w:sz w:val="18"/>
          <w:szCs w:val="18"/>
          <w:color w:val="auto"/>
        </w:rPr>
        <w:t>. Through our Consumer Insights program, we have dedicated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professionals working to understand consumer trends all around the globe. Our consumer and marketing teams interpret consumer trends, monitor product launches, analyze quantitative market data and conduct several hundred thousand consumer interviews annually. Our sensory experts explore flavor and fragrance performance, the psychophysics of sensory perception (including chemesthetic properties such as warming, cooling and tingling), the genetic basis for flavor and fragrance preference, and the effects of tastes and aromas on mood, performance, health and well-being. Utilizing our proprietary statistical programs, we use this information to enable us to understand the emotional connections between a prospective product and the consumer. The ability to pinpoint the likelihood of a product’s success translates into stronger brand equity for our customers’ products, a higher likelihood of repeat purchases and market share gains for our customers and us, as well as a more efficient creative process within IFF.</w:t>
      </w:r>
    </w:p>
    <w:p>
      <w:pPr>
        <w:spacing w:after="0" w:line="190" w:lineRule="exact"/>
        <w:rPr>
          <w:rFonts w:ascii="Times New Roman" w:cs="Times New Roman" w:eastAsia="Times New Roman" w:hAnsi="Times New Roman"/>
          <w:sz w:val="18"/>
          <w:szCs w:val="18"/>
          <w:color w:val="auto"/>
        </w:rPr>
      </w:pPr>
    </w:p>
    <w:p>
      <w:pPr>
        <w:ind w:left="720" w:right="140" w:hanging="320"/>
        <w:spacing w:after="0" w:line="259"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 and utilize technology to create innovative solutions that drive brand success</w:t>
      </w:r>
      <w:r>
        <w:rPr>
          <w:rFonts w:ascii="Times New Roman" w:cs="Times New Roman" w:eastAsia="Times New Roman" w:hAnsi="Times New Roman"/>
          <w:sz w:val="18"/>
          <w:szCs w:val="18"/>
          <w:color w:val="auto"/>
        </w:rPr>
        <w:t>. We spend approximately 8% of our sales on the research,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implementation of new molecules, compounds and technologies that help our customers respond to changing consumer preference. As a result of this investment, we have been granted 259 patents in the United States since 2000, including 8 in 2014, and we have developed many unique molecules and delivery systems for our customers that are used as the foundations of successful flavors and fragrances around the world.</w:t>
      </w:r>
    </w:p>
    <w:p>
      <w:pPr>
        <w:spacing w:after="0" w:line="179" w:lineRule="exact"/>
        <w:rPr>
          <w:rFonts w:ascii="Times New Roman" w:cs="Times New Roman" w:eastAsia="Times New Roman" w:hAnsi="Times New Roman"/>
          <w:sz w:val="18"/>
          <w:szCs w:val="18"/>
          <w:color w:val="auto"/>
        </w:rPr>
      </w:pPr>
    </w:p>
    <w:p>
      <w:pPr>
        <w:ind w:left="720" w:hanging="320"/>
        <w:spacing w:after="0" w:line="259"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Cultivate our creative expertise in collaboration with our customers</w:t>
      </w:r>
      <w:r>
        <w:rPr>
          <w:rFonts w:ascii="Times New Roman" w:cs="Times New Roman" w:eastAsia="Times New Roman" w:hAnsi="Times New Roman"/>
          <w:sz w:val="18"/>
          <w:szCs w:val="18"/>
          <w:color w:val="auto"/>
        </w:rPr>
        <w:t>. We have a network of creative centers around the world where we create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adapt the basic flavors or fragrances that we have developed in the R&amp;D process to commercialize for use in our customers’ consumer products. Our global creative teams consist of perfumers, fragrance evaluators and flavorists, as well as marketing, consumer insight and technical application experts, from a wide range of cultures and nationalities. In close partnership with our customers’ product development groups, our creative teams create the scents and tastes that our customers are seeking in order to satisfy consumer demands in each of their markets.</w:t>
      </w:r>
    </w:p>
    <w:p>
      <w:pPr>
        <w:spacing w:after="0" w:line="179" w:lineRule="exact"/>
        <w:rPr>
          <w:rFonts w:ascii="Times New Roman" w:cs="Times New Roman" w:eastAsia="Times New Roman" w:hAnsi="Times New Roman"/>
          <w:sz w:val="18"/>
          <w:szCs w:val="18"/>
          <w:color w:val="auto"/>
        </w:rPr>
      </w:pPr>
    </w:p>
    <w:p>
      <w:pPr>
        <w:ind w:left="720" w:right="220" w:hanging="320"/>
        <w:spacing w:after="0" w:line="26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 strong customer intimacy</w:t>
      </w:r>
      <w:r>
        <w:rPr>
          <w:rFonts w:ascii="Times New Roman" w:cs="Times New Roman" w:eastAsia="Times New Roman" w:hAnsi="Times New Roman"/>
          <w:sz w:val="18"/>
          <w:szCs w:val="18"/>
          <w:color w:val="auto"/>
        </w:rPr>
        <w:t>. We believe that understanding our customers’ brands, technologies; strategies and priorities enable us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them with superior products and solutions. This, combined with supply chain excellence and our global regulatory capabilities are key to being selected as a preferred/“core list supplier”.</w:t>
      </w:r>
    </w:p>
    <w:p>
      <w:pPr>
        <w:spacing w:after="0" w:line="170" w:lineRule="exact"/>
        <w:rPr>
          <w:rFonts w:ascii="Times New Roman" w:cs="Times New Roman" w:eastAsia="Times New Roman" w:hAnsi="Times New Roman"/>
          <w:sz w:val="18"/>
          <w:szCs w:val="18"/>
          <w:color w:val="auto"/>
        </w:rPr>
      </w:pPr>
    </w:p>
    <w:p>
      <w:pPr>
        <w:ind w:left="720" w:right="120" w:hanging="320"/>
        <w:spacing w:after="0" w:line="26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efficiency in all that we do. </w:t>
      </w:r>
      <w:r>
        <w:rPr>
          <w:rFonts w:ascii="Times New Roman" w:cs="Times New Roman" w:eastAsia="Times New Roman" w:hAnsi="Times New Roman"/>
          <w:sz w:val="18"/>
          <w:szCs w:val="18"/>
          <w:color w:val="auto"/>
        </w:rPr>
        <w:t>We focus on integrating our consumer insight, technology, creative, regulatory and manufacturing expertise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manner that we believe drives productivity and efficiency to improve profitability on a long-term basis. We believe that discipline in driving efficiencies is a significant factor in our ability to simultaneously enhance margins and cash flows, while continuing to invest in our key growth initiatives.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Product Development</w:t>
      </w:r>
    </w:p>
    <w:p>
      <w:pPr>
        <w:spacing w:after="0" w:line="229" w:lineRule="exact"/>
        <w:rPr>
          <w:sz w:val="20"/>
          <w:szCs w:val="20"/>
          <w:color w:val="auto"/>
        </w:rPr>
      </w:pPr>
    </w:p>
    <w:p>
      <w:pPr>
        <w:ind w:right="80" w:firstLine="392"/>
        <w:spacing w:after="0" w:line="258" w:lineRule="auto"/>
        <w:rPr>
          <w:sz w:val="20"/>
          <w:szCs w:val="20"/>
          <w:color w:val="auto"/>
        </w:rPr>
      </w:pPr>
      <w:r>
        <w:rPr>
          <w:rFonts w:ascii="Times New Roman" w:cs="Times New Roman" w:eastAsia="Times New Roman" w:hAnsi="Times New Roman"/>
          <w:sz w:val="18"/>
          <w:szCs w:val="18"/>
          <w:color w:val="auto"/>
        </w:rPr>
        <w:t>We consider our R&amp;D development infrastructure to be one of our key competencies and we focus and invest substantial resources in the research and development of new and innovative compounds, formulas and technologies and the application of these to our customers’ products. Using the knowledge gained from our Consumer Insights program, we strategically focus our resources around key R&amp;D platforms that address consumer needs or preferences, or anticipate a future preference. By aligning our resources around these platforms, we ensure the proper support and focus for each program so that it can be further developed and eventually be accepted for commercial application.</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maintain six R&amp;D centers around the world, where we employ scientists and application engineers to support (i) the discovery of new materials,</w:t>
      </w:r>
    </w:p>
    <w:p>
      <w:pPr>
        <w:spacing w:after="0" w:line="27" w:lineRule="exact"/>
        <w:rPr>
          <w:sz w:val="20"/>
          <w:szCs w:val="20"/>
          <w:color w:val="auto"/>
        </w:rPr>
      </w:pPr>
    </w:p>
    <w:p>
      <w:pPr>
        <w:ind w:right="80" w:firstLine="8"/>
        <w:spacing w:after="0" w:line="253"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technologies, such as our delivery systems, (iii) the creation of new compounds and (iv) the enhancement of existing ingredients and compounds. In our 31 creative centers around the world, including our newest facilities in Shanghai, Sao Paulo, Moscow, Singapore, Mumbai, Delhi, Chengdu, and Beijing, teams of flavorists and perfumers work with our customers’ product development groups to create the exact scent or taste they are seeking. In 2014, we employed about 1,250 people in research and product development activities. We spent $254 million, $260 million and $234 million, or approximately 8%, 9% and 8% of sales in 2014, 2013 and 2012, respectively, on R&amp;D activities.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738" w:right="259" w:bottom="1440" w:gutter="0" w:footer="0" w:header="0"/>
        </w:sectPr>
      </w:pPr>
    </w:p>
    <w:bookmarkStart w:id="6" w:name="page7"/>
    <w:bookmarkEnd w:id="6"/>
    <w:p>
      <w:pPr>
        <w:ind w:right="240" w:firstLine="392"/>
        <w:spacing w:after="0" w:line="258" w:lineRule="auto"/>
        <w:rPr>
          <w:sz w:val="20"/>
          <w:szCs w:val="20"/>
          <w:color w:val="auto"/>
        </w:rPr>
      </w:pPr>
      <w:r>
        <w:rPr>
          <w:rFonts w:ascii="Times New Roman" w:cs="Times New Roman" w:eastAsia="Times New Roman" w:hAnsi="Times New Roman"/>
          <w:sz w:val="18"/>
          <w:szCs w:val="18"/>
          <w:color w:val="auto"/>
        </w:rPr>
        <w:t>Our ingredients research program discovers molecules found in natural substances and creates new molecules that are subsequently tested for their fragrance or flavor value. To broaden our offering of natural, innovative and unique products, we seek collaborations with research institutions and other companies throughout the world. We have created a number of such collaborations, for example, our ongoing relationship with Amyris, which strengthens and broadens the pipeline of new and innovative molecules that we intend to launch in the coming years. To further strengthen and broaden our technology offerings and capabilities, we acquired Aromor in January 2014 to provide us with cost-effective complex specialty ingredients.</w:t>
      </w:r>
    </w:p>
    <w:p>
      <w:pPr>
        <w:spacing w:after="0" w:line="184" w:lineRule="exact"/>
        <w:rPr>
          <w:sz w:val="20"/>
          <w:szCs w:val="20"/>
          <w:color w:val="auto"/>
        </w:rPr>
      </w:pPr>
    </w:p>
    <w:p>
      <w:pPr>
        <w:ind w:right="80" w:firstLine="392"/>
        <w:spacing w:after="0" w:line="256" w:lineRule="auto"/>
        <w:rPr>
          <w:sz w:val="20"/>
          <w:szCs w:val="20"/>
          <w:color w:val="auto"/>
        </w:rPr>
      </w:pPr>
      <w:r>
        <w:rPr>
          <w:rFonts w:ascii="Times New Roman" w:cs="Times New Roman" w:eastAsia="Times New Roman" w:hAnsi="Times New Roman"/>
          <w:sz w:val="18"/>
          <w:szCs w:val="18"/>
          <w:color w:val="auto"/>
        </w:rPr>
        <w:t>The development of new and customized flavor and fragrance compounds is a complex process calling upon the combined knowledge of our scientists, flavorists and perfumers. Scientists from various disciplines work in project teams with the flavorists and perfumers to develop flavor and fragrance compounds with consumer preferred performance characteristics. The development of new flavor and fragrance compounds requires (i) in-depth knowledge of the flavor and fragrance characteristics of the various ingredients we use, (ii) an understanding of how the many ingredients in a consumer product interact and (iii) the creation of controlled release and delivery systems to enhance flavor and fragrance performance. To facilitate this process, we have a scientific advisory board comprised of five leading scientists that provide external perspectives and independent feedback on our R&amp;D initiatives.</w:t>
      </w:r>
    </w:p>
    <w:p>
      <w:pPr>
        <w:spacing w:after="0" w:line="188"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8"/>
          <w:szCs w:val="18"/>
          <w:color w:val="auto"/>
        </w:rPr>
        <w:t>Development of new flavors and fragrances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in partnership with our scientists and researchers to optimize the consumer appeal of the flavor or fragrance. A collaborative process between our researchers, our product development team and our customers then follows to perfect the flavor or fragrance so that it is ready to be included in the final consumer product.</w:t>
      </w:r>
    </w:p>
    <w:p>
      <w:pPr>
        <w:spacing w:after="0" w:line="184" w:lineRule="exact"/>
        <w:rPr>
          <w:sz w:val="20"/>
          <w:szCs w:val="20"/>
          <w:color w:val="auto"/>
        </w:rPr>
      </w:pPr>
    </w:p>
    <w:p>
      <w:pPr>
        <w:jc w:val="both"/>
        <w:ind w:right="180" w:firstLine="392"/>
        <w:spacing w:after="0" w:line="266" w:lineRule="auto"/>
        <w:rPr>
          <w:sz w:val="20"/>
          <w:szCs w:val="20"/>
          <w:color w:val="auto"/>
        </w:rPr>
      </w:pPr>
      <w:r>
        <w:rPr>
          <w:rFonts w:ascii="Times New Roman" w:cs="Times New Roman" w:eastAsia="Times New Roman" w:hAnsi="Times New Roman"/>
          <w:sz w:val="18"/>
          <w:szCs w:val="18"/>
          <w:color w:val="auto"/>
        </w:rPr>
        <w:t>In addition to creating new flavors and fragrances, our researchers and product development teams advise customers on ways to improve their existing products by adjusting or substituting current ingredients with more readily accessible or less expensive materials or by modifying the current ingredients to produce an enhanced yield. This often results in creating a better value proposition for our customers.</w:t>
      </w:r>
    </w:p>
    <w:p>
      <w:pPr>
        <w:spacing w:after="0" w:line="176" w:lineRule="exact"/>
        <w:rPr>
          <w:sz w:val="20"/>
          <w:szCs w:val="20"/>
          <w:color w:val="auto"/>
        </w:rPr>
      </w:pPr>
    </w:p>
    <w:p>
      <w:pPr>
        <w:ind w:right="500" w:firstLine="392"/>
        <w:spacing w:after="0" w:line="282" w:lineRule="auto"/>
        <w:rPr>
          <w:sz w:val="20"/>
          <w:szCs w:val="20"/>
          <w:color w:val="auto"/>
        </w:rPr>
      </w:pPr>
      <w:r>
        <w:rPr>
          <w:rFonts w:ascii="Times New Roman" w:cs="Times New Roman" w:eastAsia="Times New Roman" w:hAnsi="Times New Roman"/>
          <w:sz w:val="18"/>
          <w:szCs w:val="18"/>
          <w:color w:val="auto"/>
        </w:rPr>
        <w:t>Our flavor and fragrance formulas are treated as trade secrets and remain our proprietary asset. Our business is not materially dependent upon any individual patent, trademark or license.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229"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8"/>
          <w:szCs w:val="18"/>
          <w:color w:val="auto"/>
        </w:rPr>
        <w:t>We have an integrated supply chain from raw material sourcing through manufacturing, quality assurance, regulatory compliance and distribution, which permits us to provide our customers with consistent quality products on a timely and cost-effective basis.</w:t>
      </w:r>
    </w:p>
    <w:p>
      <w:pPr>
        <w:spacing w:after="0" w:line="160" w:lineRule="exact"/>
        <w:rPr>
          <w:sz w:val="20"/>
          <w:szCs w:val="20"/>
          <w:color w:val="auto"/>
        </w:rPr>
      </w:pPr>
    </w:p>
    <w:p>
      <w:pPr>
        <w:ind w:right="60" w:firstLine="392"/>
        <w:spacing w:after="0" w:line="255" w:lineRule="auto"/>
        <w:rPr>
          <w:sz w:val="20"/>
          <w:szCs w:val="20"/>
          <w:color w:val="auto"/>
        </w:rPr>
      </w:pPr>
      <w:r>
        <w:rPr>
          <w:rFonts w:ascii="Times New Roman" w:cs="Times New Roman" w:eastAsia="Times New Roman" w:hAnsi="Times New Roman"/>
          <w:sz w:val="18"/>
          <w:szCs w:val="18"/>
          <w:i w:val="1"/>
          <w:iCs w:val="1"/>
          <w:color w:val="auto"/>
        </w:rPr>
        <w:t>Procurement</w:t>
      </w:r>
      <w:r>
        <w:rPr>
          <w:rFonts w:ascii="Times New Roman" w:cs="Times New Roman" w:eastAsia="Times New Roman" w:hAnsi="Times New Roman"/>
          <w:sz w:val="18"/>
          <w:szCs w:val="18"/>
          <w:color w:val="auto"/>
        </w:rPr>
        <w:t>. The ingredients that we use in our compounds are both natural and synthetic. We purchase approximately 8,500 different raw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about 2,300 domestic and international suppliers. Approximately half of the materials we purchase are naturals or crop related items and the other half are synthetics and chemicals. Natural ingredients are derived from flowers, fruits and other botanical products as well as from animal products. They contain varying numbers of organic chemicals that are responsible for the fragrance or flavor of the natural product. The natural products are purchased in processed or semi-processed form. Some are used in compounds in the state in which they are purchased and others after further processing. Natural products, together with various chemicals, are also used as raw materials for the manufacture of synthetic ingredients by chemical processes. Our flavor products also include extracts and seasonings derived from various fruits, vegetables, nuts, herbs and spices as well as microbiologically-derived ingredients. We manufacture most of our synthetic ingredients for use in our fragrance compounds as well as for sale to others.</w:t>
      </w:r>
    </w:p>
    <w:p>
      <w:pPr>
        <w:spacing w:after="0" w:line="187"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While we purchase a diverse portfolio of raw materials, about 80% of our spending is focused on approximately 800 materials, which allows us to leverage our buying power with suppliers. In order to ensure our supply of raw materials, achieve favorable pricing and provide timely transparency regarding inflationary trends to our customers, we continue to be focused on (i) implementing a forward-buy strategy, (ii) entering into supplier relationships to gain access to supplies that we do not have, (iii) implementing indexed pricing, (iv) reducing the complexity of our formulations and (v) evaluating whether it is more profitable to buy or make an ingredient. We are also concentrating on local country sourcing with our own procurement professionals.</w:t>
      </w:r>
    </w:p>
    <w:p>
      <w:pPr>
        <w:spacing w:after="0" w:line="182" w:lineRule="exact"/>
        <w:rPr>
          <w:sz w:val="20"/>
          <w:szCs w:val="20"/>
          <w:color w:val="auto"/>
        </w:rPr>
      </w:pPr>
    </w:p>
    <w:p>
      <w:pPr>
        <w:jc w:val="both"/>
        <w:ind w:right="220" w:firstLine="3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Manufacturing and Distribution. </w:t>
      </w:r>
      <w:r>
        <w:rPr>
          <w:rFonts w:ascii="Times New Roman" w:cs="Times New Roman" w:eastAsia="Times New Roman" w:hAnsi="Times New Roman"/>
          <w:sz w:val="18"/>
          <w:szCs w:val="18"/>
          <w:color w:val="auto"/>
        </w:rPr>
        <w:t>We have 29 manufacturing sites around the world that support more than 36,000 products. Our major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are located in the United States, the Netherlands, Spain, Great Britain, Turkey, Brazil, Mexico, Australia, China, India, and Singapore. Our supply chain initiatives in developing markets are focused 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increasing capacity and investments in key technologies, while within our more mature markets, we tend to focus on consolidation and cost optimization as well as implementing new technologies. In addition to our own manufacturing facilities, we develop relationships with third parties that permit us to expand the technologies, capabilities and capacity that we can access to serve our customers.</w:t>
      </w:r>
    </w:p>
    <w:p>
      <w:pPr>
        <w:spacing w:after="0" w:line="176" w:lineRule="exact"/>
        <w:rPr>
          <w:sz w:val="20"/>
          <w:szCs w:val="20"/>
          <w:color w:val="auto"/>
        </w:rPr>
      </w:pPr>
    </w:p>
    <w:p>
      <w:pPr>
        <w:ind w:right="140" w:firstLine="392"/>
        <w:spacing w:after="0" w:line="261" w:lineRule="auto"/>
        <w:rPr>
          <w:sz w:val="20"/>
          <w:szCs w:val="20"/>
          <w:color w:val="auto"/>
        </w:rPr>
      </w:pPr>
      <w:r>
        <w:rPr>
          <w:rFonts w:ascii="Times New Roman" w:cs="Times New Roman" w:eastAsia="Times New Roman" w:hAnsi="Times New Roman"/>
          <w:sz w:val="18"/>
          <w:szCs w:val="18"/>
          <w:color w:val="auto"/>
        </w:rPr>
        <w:t>Based on the regional nature of the Flavors business and the concerns regarding the transportability of raw materials, we have established smaller manufacturing facilities in our local markets that are focused on local needs. Products within the Fragrances business are typically composed of compounds that are more stable and more transportable around the world. Consequently, we have fewer manufacturing facilities within our Fragrances business, which produce compounds and ingredients for global distribution.</w:t>
      </w:r>
    </w:p>
    <w:p>
      <w:pPr>
        <w:spacing w:after="0" w:line="180"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8"/>
          <w:szCs w:val="18"/>
          <w:color w:val="auto"/>
        </w:rPr>
        <w:t>In 2014, we continued to invest in our facilities, notably in emerging markets. We opened our new Creative &amp; Applications lab at our existing facility in Jakarta, Indonesia and opened a new sales office and laboratory in Chile. Construction is also ongoing of a new creative center and expansion of our manufacturing facilities in Gebze, Turkey.</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Sustainability. </w:t>
      </w:r>
      <w:r>
        <w:rPr>
          <w:rFonts w:ascii="Times New Roman" w:cs="Times New Roman" w:eastAsia="Times New Roman" w:hAnsi="Times New Roman"/>
          <w:sz w:val="18"/>
          <w:szCs w:val="18"/>
          <w:color w:val="auto"/>
        </w:rPr>
        <w:t>As a leading global creator of flavors and fragrances for a wide variety of consumer products, sustainability has been an important part of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do business. Our sustainability strategy, which is closely aligned with our long-term business strategy, was first formalized in 2011 and consists of four pillars: our products; our impact; our sources; and our people. While the industry and our Company constantly evolves, we are committed to conducting our business in line with our dedication to the environment, to society and to the shareholders, customers and others that have placed their confidence in us. In 2014, we were identified as a leader in Climate Change Reporting and will be included in the Climate Disclosure Leadership Index compiled by the CDP (formerly known as the Carbon Disclosure Project). In addition, during 2014 a third party completed the installation of a solar panel field on IFF property. The solar panel field is the largest in the industry. In addition to the installation of the solar panel field, the agreement we entered into also called for the third party, who is the owner of the solar panels, to operate and maintain the installation for a multi-year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8"/>
          <w:szCs w:val="18"/>
          <w:color w:val="auto"/>
        </w:rPr>
        <w:t>We develop, produce and market our products in a number of jurisdictions throughout the world and are subject to federal, regional and local legislation and regulations in each of the various countries. Our flavor and many of our fragrance products are intended for the food, beverage and pharmaceutical industries, which are subject to strict quality and regulatory standards. As a result, we are required to meet these strict standards which, in recent years, have become increasingly stringent.</w:t>
      </w:r>
    </w:p>
    <w:p>
      <w:pPr>
        <w:spacing w:after="0" w:line="180" w:lineRule="exact"/>
        <w:rPr>
          <w:sz w:val="20"/>
          <w:szCs w:val="20"/>
          <w:color w:val="auto"/>
        </w:rPr>
      </w:pPr>
    </w:p>
    <w:p>
      <w:pPr>
        <w:ind w:right="180" w:firstLine="392"/>
        <w:spacing w:after="0" w:line="258" w:lineRule="auto"/>
        <w:rPr>
          <w:sz w:val="20"/>
          <w:szCs w:val="20"/>
          <w:color w:val="auto"/>
        </w:rPr>
      </w:pPr>
      <w:r>
        <w:rPr>
          <w:rFonts w:ascii="Times New Roman" w:cs="Times New Roman" w:eastAsia="Times New Roman" w:hAnsi="Times New Roman"/>
          <w:sz w:val="18"/>
          <w:szCs w:val="18"/>
          <w:color w:val="auto"/>
        </w:rPr>
        <w:t>In addition, we are subject to various rules relating to health, work safety and the environment at the local and international levels in the various countries in which we operate. Our manufacturing facilities throughout the world are subject to environmental standards relating to air emissions, sewage discharges, the use of hazardous materials, waste disposal practices and clean-up of existing environmental contamination. In recent years, there has been a significant increase in the stringency of environmental regulation and enforcement of environmental standards, and the costs of compliance have risen significantly. We expect that the trend of increased regulation and disclosure will continue in the future.</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products and operations are subject to regulation by governmental agencies in each of the markets in which we operate. These agencies include</w:t>
      </w:r>
    </w:p>
    <w:p>
      <w:pPr>
        <w:spacing w:after="0" w:line="27" w:lineRule="exact"/>
        <w:rPr>
          <w:sz w:val="20"/>
          <w:szCs w:val="20"/>
          <w:color w:val="auto"/>
        </w:rPr>
      </w:pPr>
    </w:p>
    <w:p>
      <w:pPr>
        <w:jc w:val="both"/>
        <w:ind w:right="240" w:firstLine="8"/>
        <w:spacing w:after="0" w:line="265" w:lineRule="auto"/>
        <w:tabs>
          <w:tab w:leader="none" w:pos="2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Food and Drug Administration and equivalent international agencies that regulate the flavors and other ingredients in consumer products, (2) the Environmental Protection Agency and equivalent international agencies that regulate our fragrance compounds, (3) the Occupational Safety and Health Administration and equivalent international agencies that regulate the working conditions in our manufacturing, research laboratories and creative centers,</w:t>
      </w:r>
    </w:p>
    <w:p>
      <w:pPr>
        <w:ind w:right="120" w:firstLine="8"/>
        <w:spacing w:after="0" w:line="254"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international agencies that regulate trade and customs, (5) the Drug Enforcement Administration and other local or international agencies that regulate controlled chemicals that we use in our operations and (6) the Chemical Registration/Notification authorities that regulate chemicals that we use in, or transport to, the various countries in which we manufacture and/or market our products. We have seen an increase in registration and reporting requirements concerning the use of certain chemicals in a number of countries.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60" w:firstLine="392"/>
        <w:spacing w:after="0" w:line="266" w:lineRule="auto"/>
        <w:rPr>
          <w:sz w:val="20"/>
          <w:szCs w:val="20"/>
          <w:color w:val="auto"/>
        </w:rPr>
      </w:pPr>
      <w:r>
        <w:rPr>
          <w:rFonts w:ascii="Times New Roman" w:cs="Times New Roman" w:eastAsia="Times New Roman" w:hAnsi="Times New Roman"/>
          <w:sz w:val="18"/>
          <w:szCs w:val="18"/>
          <w:color w:val="auto"/>
        </w:rPr>
        <w:t>The flavors and fragrances market is part of a larger market which supplies a variety of ingredients and components that consumer products companies utilize in their products. The broader market includes large multinational companies or smaller regional and local participants which supply products such as seasonings, texturizers, spices, enzymes, certain food related commodities, fortified products and cosmetic ingredients.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580" w:right="299" w:bottom="1440" w:gutter="0" w:footer="0" w:header="0"/>
        </w:sectPr>
      </w:pPr>
    </w:p>
    <w:bookmarkStart w:id="8" w:name="page9"/>
    <w:bookmarkEnd w:id="8"/>
    <w:p>
      <w:pPr>
        <w:ind w:right="20" w:firstLine="392"/>
        <w:spacing w:after="0" w:line="258" w:lineRule="auto"/>
        <w:rPr>
          <w:sz w:val="20"/>
          <w:szCs w:val="20"/>
          <w:color w:val="auto"/>
        </w:rPr>
      </w:pPr>
      <w:r>
        <w:rPr>
          <w:rFonts w:ascii="Times New Roman" w:cs="Times New Roman" w:eastAsia="Times New Roman" w:hAnsi="Times New Roman"/>
          <w:sz w:val="18"/>
          <w:szCs w:val="18"/>
          <w:color w:val="auto"/>
        </w:rPr>
        <w:t>The market for flavors and fragrances is highly competitive. Based on annual sales, our main competitors consist of (1) the three other large global flavor and fragrance manufacturers, Givaudan, Firmenich and Symrise, (2) mid-sized companies, (3) numerous small and local manufacturers with more limited research and development capabilities who focus on narrow market segments and local customers and (4) consumer product companies who may develop their own flavors or fragrances. We, together with the other top three companies, represent approximately two-thirds of the total estimated sales in the global flavors and fragrances sub-segment of the broader market.</w:t>
      </w:r>
    </w:p>
    <w:p>
      <w:pPr>
        <w:spacing w:after="0" w:line="184" w:lineRule="exact"/>
        <w:rPr>
          <w:sz w:val="20"/>
          <w:szCs w:val="20"/>
          <w:color w:val="auto"/>
        </w:rPr>
      </w:pPr>
    </w:p>
    <w:p>
      <w:pPr>
        <w:jc w:val="both"/>
        <w:ind w:right="20" w:firstLine="392"/>
        <w:spacing w:after="0" w:line="266" w:lineRule="auto"/>
        <w:rPr>
          <w:sz w:val="20"/>
          <w:szCs w:val="20"/>
          <w:color w:val="auto"/>
        </w:rPr>
      </w:pPr>
      <w:r>
        <w:rPr>
          <w:rFonts w:ascii="Times New Roman" w:cs="Times New Roman" w:eastAsia="Times New Roman" w:hAnsi="Times New Roman"/>
          <w:sz w:val="18"/>
          <w:szCs w:val="18"/>
          <w:color w:val="auto"/>
        </w:rPr>
        <w:t>We believe that our ability to compete successfully in the flavors and fragrances market is based on (1) our understanding of consumers, (2) innovation, arising from the creative skills of our perfumers and flavorists and the technological advances resulting from our research and development activities, (3) our ability to create products which are tailor-made for our customers’ needs, (4) developing strong customer intimacy and (5) driving efficiency in all that we do.</w:t>
      </w:r>
    </w:p>
    <w:p>
      <w:pPr>
        <w:spacing w:after="0" w:line="176"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Large multinational customers and, increasingly, mid-sized customers, may limit the number of their suppliers, placing some on “core lists,” giving them priority for development and production of their new or modified products.</w:t>
      </w:r>
    </w:p>
    <w:p>
      <w:pPr>
        <w:spacing w:after="0" w:line="162" w:lineRule="exact"/>
        <w:rPr>
          <w:sz w:val="20"/>
          <w:szCs w:val="20"/>
          <w:color w:val="auto"/>
        </w:rPr>
      </w:pPr>
    </w:p>
    <w:p>
      <w:pPr>
        <w:ind w:right="480" w:firstLine="392"/>
        <w:spacing w:after="0" w:line="282" w:lineRule="auto"/>
        <w:rPr>
          <w:sz w:val="20"/>
          <w:szCs w:val="20"/>
          <w:color w:val="auto"/>
        </w:rPr>
      </w:pPr>
      <w:r>
        <w:rPr>
          <w:rFonts w:ascii="Times New Roman" w:cs="Times New Roman" w:eastAsia="Times New Roman" w:hAnsi="Times New Roman"/>
          <w:sz w:val="18"/>
          <w:szCs w:val="18"/>
          <w:color w:val="auto"/>
        </w:rPr>
        <w:t>To compete more successfully in this environment, we must make continued investments in customer relationships and tailor product research and development in order to anticipate customers’ needs, provide effective service and secure and maintain inclusion on certain “core lists.”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Relations</w:t>
      </w:r>
    </w:p>
    <w:p>
      <w:pPr>
        <w:spacing w:after="0" w:line="229" w:lineRule="exact"/>
        <w:rPr>
          <w:sz w:val="20"/>
          <w:szCs w:val="20"/>
          <w:color w:val="auto"/>
        </w:rPr>
      </w:pPr>
    </w:p>
    <w:p>
      <w:pPr>
        <w:ind w:right="540" w:firstLine="392"/>
        <w:spacing w:after="0" w:line="282" w:lineRule="auto"/>
        <w:rPr>
          <w:sz w:val="20"/>
          <w:szCs w:val="20"/>
          <w:color w:val="auto"/>
        </w:rPr>
      </w:pPr>
      <w:r>
        <w:rPr>
          <w:rFonts w:ascii="Times New Roman" w:cs="Times New Roman" w:eastAsia="Times New Roman" w:hAnsi="Times New Roman"/>
          <w:sz w:val="18"/>
          <w:szCs w:val="18"/>
          <w:color w:val="auto"/>
        </w:rPr>
        <w:t>At December 31, 2014, we had approximately 6,200 employees worldwide, of whom approximately 1,400 are employed in the United States. We believe that relations with our employees are good.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Reports</w:t>
      </w:r>
    </w:p>
    <w:p>
      <w:pPr>
        <w:spacing w:after="0" w:line="229"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the Investor Relations link on our website, www.iff.com, all materials that we file electronically with the Securities and Exchange Commission (“SEC”), including our annual report on Form 10-K, quarterly reports on Form 10-Q, current reports on Form 8-K and amendments to those reports, filed or furnished pursuant to Section 13(a) or 15(d) of the Securities Exchange Act of 1934, as amended, as soon as reasonably practicable after electronically filing such materials with, or furnishing them to, the SEC. During the period covered by this Form 10-K, we made all such materials available through our website as soon as reasonably practicable after filing such materials with the SEC.</w:t>
      </w:r>
    </w:p>
    <w:p>
      <w:pPr>
        <w:spacing w:after="0" w:line="184"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8"/>
          <w:szCs w:val="18"/>
          <w:color w:val="auto"/>
        </w:rPr>
        <w:t>You may also read and copy any materials filed by us with the SEC at the SEC’s Public Reference Room at 100 F Street, N.E., Washington, D.C. 20549, and you may obtain information on the operation of the Public Reference Room by calling the SEC in the United States at 1-800-SEC-0330. In addition, the SEC maintains an Internet website, www.sec.gov, that contains reports, proxy and information statements and other information that we file electronically with the SEC.</w:t>
      </w:r>
    </w:p>
    <w:p>
      <w:pPr>
        <w:spacing w:after="0" w:line="180" w:lineRule="exact"/>
        <w:rPr>
          <w:sz w:val="20"/>
          <w:szCs w:val="20"/>
          <w:color w:val="auto"/>
        </w:rPr>
      </w:pPr>
    </w:p>
    <w:p>
      <w:pPr>
        <w:ind w:right="140" w:firstLine="392"/>
        <w:spacing w:after="0" w:line="313" w:lineRule="auto"/>
        <w:rPr>
          <w:sz w:val="20"/>
          <w:szCs w:val="20"/>
          <w:color w:val="auto"/>
        </w:rPr>
      </w:pPr>
      <w:r>
        <w:rPr>
          <w:rFonts w:ascii="Times New Roman" w:cs="Times New Roman" w:eastAsia="Times New Roman" w:hAnsi="Times New Roman"/>
          <w:sz w:val="17"/>
          <w:szCs w:val="17"/>
          <w:color w:val="auto"/>
        </w:rPr>
        <w:t>A copy of our Corporate Governance Guidelines, Code of Business Conduct and Ethics, and the charters of the Audit Committee, Compensation Committee and Nominating and Governance Committee of the Board of Directors are posted on the Investor Relations section of our website, www.iff.com.</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principal executive offices are located at 521 West 57th Street, New York, New York 10019 (212-765-5500).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Registrant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current executive officers of the Company, as of March 2, 2015, are listed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Andreas Fibig</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Richard A. O’Leary</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Interim Chief Financial Officer, Vice President and Controller</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Nicolas Mirzayantz</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Group President, Fragrances</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Matthias Haeni</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Group President, Flavors</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Ahmet Baydar</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w:t>
            </w: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 Research and Development</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Angelica T. Cantlon</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 Human Resources</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Anne Chwat</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Senior Vice President, General Counsel and Corporate Secretary</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Francisco Fortanet</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 Operations</w:t>
            </w:r>
          </w:p>
        </w:tc>
      </w:tr>
      <w:tr>
        <w:trPr>
          <w:trHeight w:val="702"/>
        </w:trPr>
        <w:tc>
          <w:tcPr>
            <w:tcW w:w="3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420"/>
          </w:cols>
          <w:pgMar w:left="240" w:top="580" w:right="239" w:bottom="1440" w:gutter="0" w:footer="0" w:header="0"/>
        </w:sectPr>
      </w:pPr>
    </w:p>
    <w:bookmarkStart w:id="9" w:name="page10"/>
    <w:bookmarkEnd w:id="9"/>
    <w:p>
      <w:pPr>
        <w:ind w:right="20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Andreas Fibig </w:t>
      </w:r>
      <w:r>
        <w:rPr>
          <w:rFonts w:ascii="Times New Roman" w:cs="Times New Roman" w:eastAsia="Times New Roman" w:hAnsi="Times New Roman"/>
          <w:sz w:val="18"/>
          <w:szCs w:val="18"/>
          <w:color w:val="auto"/>
        </w:rPr>
        <w:t>has served as our Chairman since December 2014 and Chief Executive Officer since September 2014. Mr. Fibig has been a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since 2011. Previously, Mr. Fibig served as President and Chairman of the Board of Management of Bayer HealthCare Pharmaceuticals, the pharmaceutical division of Bayer AG, since September 2008. Prior to this position, Mr. Fibig held a number of positions of increasing responsibility at Pfizer Inc., a research-based pharmaceutical company, including as Senior Vice President in the US Pharmaceutical Operations group from 2007 through 2008 and as President, Latin America, Africa and Middle East from 2006 through 2007.</w:t>
      </w:r>
    </w:p>
    <w:p>
      <w:pPr>
        <w:spacing w:after="0" w:line="180" w:lineRule="exact"/>
        <w:rPr>
          <w:sz w:val="20"/>
          <w:szCs w:val="20"/>
          <w:color w:val="auto"/>
        </w:rPr>
      </w:pPr>
    </w:p>
    <w:p>
      <w:pPr>
        <w:ind w:right="200" w:firstLine="3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Richard A. O’Leary </w:t>
      </w:r>
      <w:r>
        <w:rPr>
          <w:rFonts w:ascii="Times New Roman" w:cs="Times New Roman" w:eastAsia="Times New Roman" w:hAnsi="Times New Roman"/>
          <w:sz w:val="18"/>
          <w:szCs w:val="18"/>
          <w:color w:val="auto"/>
        </w:rPr>
        <w:t>has served as our Interim Chief Financial Officer since December 2014 and as our Vice President and Controller since June 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O’Leary joined our Company in July 2007, and served as our Vice President, Corporate Development from July 2007 to May 2009, and as our Interim Chief Financial Officer from July 2008 to May 2009. Prior to joining us, Mr. O’Leary served in various positions since 1986 at International Paper Co., a paper and packaging company, including, as Chief Financial Officer of International Paper Company (Brazil) from June 2004 to June 2007.</w:t>
      </w:r>
    </w:p>
    <w:p>
      <w:pPr>
        <w:spacing w:after="0" w:line="126"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Nicolas Mirzayantz </w:t>
      </w:r>
      <w:r>
        <w:rPr>
          <w:rFonts w:ascii="Times New Roman" w:cs="Times New Roman" w:eastAsia="Times New Roman" w:hAnsi="Times New Roman"/>
          <w:sz w:val="18"/>
          <w:szCs w:val="18"/>
          <w:color w:val="auto"/>
        </w:rPr>
        <w:t>has served as our Group President, Fragrances since January 2007, and originally joined our Company in 1988. Prior to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as Group President, Fragrances, he served as a member of our Temporary Office of the Chief Executive Officer from October 1, 2009 until February 2010, our Senior Vice President, Fine Fragrance and Beauty Care and Regional Manager North America, from March 2005 to December 2006, our Senior Vice President, Fine Fragrance and Beauty Care from October 2004 to February 2005, and our Vice President Global Fragrance Business Development from February 2002 to September 2004.</w:t>
      </w:r>
    </w:p>
    <w:p>
      <w:pPr>
        <w:spacing w:after="0" w:line="126" w:lineRule="exact"/>
        <w:rPr>
          <w:sz w:val="20"/>
          <w:szCs w:val="20"/>
          <w:color w:val="auto"/>
        </w:rPr>
      </w:pPr>
    </w:p>
    <w:p>
      <w:pPr>
        <w:ind w:right="4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Matthias Haeni </w:t>
      </w:r>
      <w:r>
        <w:rPr>
          <w:rFonts w:ascii="Times New Roman" w:cs="Times New Roman" w:eastAsia="Times New Roman" w:hAnsi="Times New Roman"/>
          <w:sz w:val="18"/>
          <w:szCs w:val="18"/>
          <w:color w:val="auto"/>
        </w:rPr>
        <w:t>has served as our Group President, Flavors since April 2014. Mr. Haeni joined us in 2007 in the role of Regional General Manager,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Flavors Greater Asia. In 2010, Mr. Haeni transferred to Hilversum, The Netherlands where he served as Regional General Manager for Flavors Europe, Africa, and the Middle East (EAME).</w:t>
      </w:r>
    </w:p>
    <w:p>
      <w:pPr>
        <w:spacing w:after="0" w:line="120" w:lineRule="exact"/>
        <w:rPr>
          <w:sz w:val="20"/>
          <w:szCs w:val="20"/>
          <w:color w:val="auto"/>
        </w:rPr>
      </w:pPr>
    </w:p>
    <w:p>
      <w:pPr>
        <w:ind w:right="140" w:firstLine="3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Ahmet Baydar </w:t>
      </w:r>
      <w:r>
        <w:rPr>
          <w:rFonts w:ascii="Times New Roman" w:cs="Times New Roman" w:eastAsia="Times New Roman" w:hAnsi="Times New Roman"/>
          <w:sz w:val="18"/>
          <w:szCs w:val="18"/>
          <w:color w:val="auto"/>
        </w:rPr>
        <w:t>has served as our Senior Vice President, Research and Development since September 2010, and as our Vice President, Global Fragrance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from February 2009 to August 2010. Prior to joining us, Dr. Baydar served as a Director of Shave Care and Integrated Shaving Systems at The Procter &amp; Gamble Company, a branded consumer packaged goods company, and Vice President of R&amp;D-Personal Care at The Gillette Company, a personal care products company.</w:t>
      </w:r>
    </w:p>
    <w:p>
      <w:pPr>
        <w:spacing w:after="0" w:line="126" w:lineRule="exact"/>
        <w:rPr>
          <w:sz w:val="20"/>
          <w:szCs w:val="20"/>
          <w:color w:val="auto"/>
        </w:rPr>
      </w:pPr>
    </w:p>
    <w:p>
      <w:pPr>
        <w:ind w:right="40" w:firstLine="3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Angelica T. Cantlon </w:t>
      </w:r>
      <w:r>
        <w:rPr>
          <w:rFonts w:ascii="Times New Roman" w:cs="Times New Roman" w:eastAsia="Times New Roman" w:hAnsi="Times New Roman"/>
          <w:sz w:val="18"/>
          <w:szCs w:val="18"/>
          <w:color w:val="auto"/>
        </w:rPr>
        <w:t>has served as our Senior Vice President, Human Resources since August 2009. Prior to joining us, Ms. Cantlon served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President-International Chief Administrative Officer of MetLife, Inc., an insurance and financial services company, from June 2005 to August 2009, and Senior Vice President-Human Resources Business Leader, of Metlife from September 1999 to June 2005.</w:t>
      </w:r>
    </w:p>
    <w:p>
      <w:pPr>
        <w:spacing w:after="0" w:line="120" w:lineRule="exact"/>
        <w:rPr>
          <w:sz w:val="20"/>
          <w:szCs w:val="20"/>
          <w:color w:val="auto"/>
        </w:rPr>
      </w:pPr>
    </w:p>
    <w:p>
      <w:pPr>
        <w:ind w:right="40" w:firstLine="3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Anne Chwat </w:t>
      </w:r>
      <w:r>
        <w:rPr>
          <w:rFonts w:ascii="Times New Roman" w:cs="Times New Roman" w:eastAsia="Times New Roman" w:hAnsi="Times New Roman"/>
          <w:sz w:val="18"/>
          <w:szCs w:val="18"/>
          <w:color w:val="auto"/>
        </w:rPr>
        <w:t>has served as our Senior Vice President, General Counsel and Corporate Secretary since April 2011. Prior to joining us, Ms. Chwat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Executive Vice President and General Counsel of Burger King Holdings, Inc., a fast food hamburger restaurant company, from September 2004 to April 2011. From September 2000 to September 2004, Ms. Chwat served in various positions at BMG Music (now Sony Music Entertainment), including as Senior Vice President, General Counsel and Chief Ethics and Compliance Officer.</w:t>
      </w:r>
    </w:p>
    <w:p>
      <w:pPr>
        <w:spacing w:after="0" w:line="126"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Francisco Fortanet </w:t>
      </w:r>
      <w:r>
        <w:rPr>
          <w:rFonts w:ascii="Times New Roman" w:cs="Times New Roman" w:eastAsia="Times New Roman" w:hAnsi="Times New Roman"/>
          <w:sz w:val="18"/>
          <w:szCs w:val="18"/>
          <w:color w:val="auto"/>
        </w:rPr>
        <w:t>has served as Senior Vice President, Operations since February 27, 2012. Mr. Fortanet joined our Company in 1995, and has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Vice President, Global Manufacturing Compounding from January 2007 to February 2012, our Vice President, Global Manufacturing from January 2006 to January 2007, our Regional Director of North America Operations from December 2003 to January 2005, the Project Manager of a Special Project in IFF Ireland from May 2003 to December 2003 and as our Plant Manager in Hazlet, New Jersey from October 1999 to May 2003.</w:t>
      </w:r>
    </w:p>
    <w:p>
      <w:pPr>
        <w:spacing w:after="0" w:line="340"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38"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We routinely encounter and address risks in conducting our business. Some of these risks may cause our future results to be different - sometimes materially different - than we presently anticipate. Below are certain important operational and strategic risks that could adversely affect our business. How we react to material future developments, as well as how our competitors react to those developments, could also affect our future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Volatility and increases in the price of raw materials, energy and transportation could harm our profits.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use many different raw materials for our business, including essential oils, extracts and concentrates derived from fruits, vegetables, flowers, woods and other botanicals, animal products, raw fruits, organic chemicals and petroleum-based chemicals. Raw material costs continue to remain at elevated levels. Historically, we have experienced the greatest amount of price volatility in natural products that represent approximately half of our raw material purchases. Availability and pricing of these natural products, such as citrus and vanilla, can be impacted by crop size and quality, weather, alternative land use, and other factors which we cannot control.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78" w:right="239" w:bottom="1440" w:gutter="0" w:footer="0" w:header="0"/>
        </w:sectPr>
      </w:pPr>
    </w:p>
    <w:bookmarkStart w:id="10" w:name="page11"/>
    <w:bookmarkEnd w:id="10"/>
    <w:p>
      <w:pPr>
        <w:ind w:right="100"/>
        <w:spacing w:after="0" w:line="261" w:lineRule="auto"/>
        <w:rPr>
          <w:sz w:val="20"/>
          <w:szCs w:val="20"/>
          <w:color w:val="auto"/>
        </w:rPr>
      </w:pPr>
      <w:r>
        <w:rPr>
          <w:rFonts w:ascii="Times New Roman" w:cs="Times New Roman" w:eastAsia="Times New Roman" w:hAnsi="Times New Roman"/>
          <w:sz w:val="18"/>
          <w:szCs w:val="18"/>
          <w:color w:val="auto"/>
        </w:rPr>
        <w:t>If we are unable to increase the prices to our customers of our fragrance or flavor products to cover raw material and other input cost increases, or if we are unable to achieve cost savings to offset such cost increases, we could fail to meet our cost expectations and our profits and operating results could be adversely affected. Increases in prices of our products to customers may lead to declines in volume, and we may not be able to accurately predict the volume impact of price increases, which could adversely affect our financial condition and results of operations.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Similarly, commodities and energy prices are subject to significant volatility caused by market fluctuations, supply and demand, currency fluctuations, production and transportation disruptions, and other world events. As we source many of our raw materials globally to help ensure quality control, if the cost of energy, shipping or transportation increases and we are unable to pass along these costs to our customers, our profit margins would be adversely affected. Furthermore, increasing our prices to our customers could result in long-term sales declines or loss of market share if our customers find alternative suppliers or choose to reformulate their consumer products to use fewer ingredients, which could have an adverse long-term impact on our results of operations.</w:t>
      </w:r>
    </w:p>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mitigate our sourcing risk, we maintain strategic stock levels for critical items. However, if we do not accurately estimate the amount of raw materials that will be used for the geographic region in which we will need these materials, our margins could be adversely affected.</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international operations are subject to economic, political and other risks that could materially and adversely affect our revenues, cash flows or financial position.</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operate on a global basis, with manufacturing and sales facilities in the United States, Europe, Africa, the Middle East, Latin America, and Greater Asia. During 2014, 79% of our net sales were to customers outside the United States and we intend to continue expansion of our international operations. As a result, our business is increasingly exposed to risks inherent in international operations. These risks, which can vary substantially by market, are described in many of the risk factors in this section and include the following:</w:t>
      </w:r>
    </w:p>
    <w:p>
      <w:pPr>
        <w:spacing w:after="0" w:line="180"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laws, regulations and policies adopted to manage national economic conditions, such as increases in taxes, austerity measures that may impact consumer spending, monetary policies that may impact inflation rates and currency fluctuations;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such as the continued implementation of the European Union’s REACH regulations, and the burdens and costs of our compliance with such regulations;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quotas, trade barriers, other trade protection measures and import or export licensing requirements, which could adversely affect our cost or ability to import raw materials or export our flavors or fragrances to surrounding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adapt our flavors and fragrances to local preferences;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arising from language and cultural differences;</w:t>
      </w:r>
    </w:p>
    <w:p>
      <w:pPr>
        <w:spacing w:after="0" w:line="225"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and policies that govern foreign investment in the countries in which we operate, including the risk of expropriation or nationalization, and the costs and ability to repatriate the revenue that we generate in these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recessionary economic conditions outside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political and economic instability, corruption, and social and ethnic unrest in the countries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and retaining trained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regional labor strikes in the countries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health or similar issues, such as a pandemic or epidemic; or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580" w:right="259" w:bottom="1440" w:gutter="0" w:footer="0" w:header="0"/>
        </w:sectPr>
      </w:pPr>
    </w:p>
    <w:bookmarkStart w:id="11" w:name="page12"/>
    <w:bookmarkEnd w:id="11"/>
    <w:p>
      <w:pPr>
        <w:ind w:left="660" w:right="3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operating in developing or emerging markets in which there are significant uncertainties regarding the interpretation, application and enforceability of laws and regulations and the enforceability of contract rights and intellectual property rights.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factors may increase in importance as we expand our operations in emerging markets as part of our growth strategy, and the occurrence of any one or more of these factors could increase our costs and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made investments in and are expanding our business into emerging markets and regions, which exposes us to certain risks.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part of our growth strategy, we have increased our presence in emerging markets by expanding our manufacturing presence, sales organization and product offerings in these markets, and we expect to continue to focus on expanding our business in these markets. In addition to the currency and international operation risks described above, our operations in these markets may be subject to a variety of other risks. These risks include economies that include consumers with limited or fluctuating disposable income and discretionary spending on which the end users of our products depend, weak legal systems which may affect our ability to enforce our intellectual property and contractual rights, exchange controls, unstable governments and privatization or other government actions affecting taxes, subsidies and incentive programs and the flow of goods and currency. In conducting our business, we move products from one country to another and may provide services in one country from a subsidiary located in another country. Accordingly, we are vulnerable to abrupt changes in customs and tax regimes that may have significant negative impacts on our financial condition and operating results.</w:t>
      </w:r>
    </w:p>
    <w:p>
      <w:pPr>
        <w:spacing w:after="0" w:line="1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increase in demand for consumer products using flavors and fragrances has been driven by factors outside of our control, and if these factors do not persist our future growth could be adversely affected.</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Demand for consumer products using flavors and fragrances has been stimulated and broadened by changing social habits and consumer needs, an expanding global middle-class and general economic growth, especially in emerging markets. Approximately 50% of our sales during 2014 were generated in emerging markets and we expect emerging markets to continue to significantly contribute to our future growth. Increasing consumer demand for products using flavors and fragrances is dependent on factors such as increases in personal income, dual-earner households, teenage population, leisure time, consumer health concerns and urbanization and by the continued growth in world’s population, all of which are outside of our control. Changes in any number of external economic factors, or changes in social or consumer preferences, could materially adversely impact our results of operations. Accordingly, our future growth will depend upon the continued economic growth and development of consumer spending on products for which we supply flavors and fragrances in these global markets.</w:t>
      </w:r>
    </w:p>
    <w:p>
      <w:pPr>
        <w:spacing w:after="0" w:line="1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may be negatively affected by the impact of currency fluctuation or devaluation in the international markets in which we operate.</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significant operations outside the U.S., the results of which are reported in the local currency and then translated into U.S. dollars at applicable exchange rates for inclusion in our consolidated financial statements. The exchange rates between these currencies and the U.S. dollar have fluctuated and will continue to do so in the future. Changes in exchange rates between these local currencies and the U.S. dollar will affect the recorded levels of sales, profitability, assets and/or liabilities. Additionally, volatility in currency exchange rates may adversely impact our financial condition, cash flows or liquidity. Although we employ a variety of techniques to mitigate the impact of exchange rate fluctuations, including sourcing strategies and a limited number of foreign currency hedging activities, we cannot guarantee that such hedging and risk management strategies will be effective, and our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Volatility in the global economy may adversely affect consumer spending and may negatively impact our business and operating results.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flavors and fragrances are components of a wide assortment of global consumer products throughout the world. Since mid-2008, the global economy has experienced significant recessionary pressures and declines in consumer confidence and economic growth. While some segments of the global economy appear to be recovering, the ongoing global recessionary economic environment in Europe has, and may in the near future, increase unemployment and underemployment, decrease salaries and wage rates, increase inflation or result in other market-wide cost pressures that will adversely affect demand for consumer products in both developed and emerging markets. In addition, growth rates in the emerging markets have moderated from previous levels. Reduced consumer spending may cause changes in our customer orders including reduced demand for our flavors and fragrances, increased pressure to reduce the price of our flavors and fragrances or order cancellations. To the extent that the volatility in global economic conditions continues, our sales, profitability and overall operating results could be adversely affected.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successfully develop and introduce new products that appeal to our customers or our customers may not accurately anticipate and respond to global consumer market trends, which may adversely affect our results of operations.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growth and performance largely depends on our ability to successfully develop and introduce new products and product improvements that appeal to our customers, and ultimately to global consumer needs. We must continually anticipate and react to, in a timely and cost-efficient manner, changes in consumer preferences and demands. We cannot be certain that we will successfully achieve our innovation goals, such as the development of new molecules, delivery methods and other technologies. We currently spend approximately 8% of our sales on research and development; however, such investments may only generate future revenues to the extent that we are able to successfully develop products that meet our customers’ specifications, can be delivered at an acceptable price and are accepted by the targeted consumer market. Furthermore, there may be significant lag times from the time we incur R&amp;D costs to the time that these R&amp;D costs may result in increased revenue. Consequently, even when we “win” a project, our ability to generate revenues as a result of these investments is subject to numerous customer, economic and other risks that are outside of our control, including delays by our customers in the launch of a new product, poor performance of our third-party vendors, reduced or insufficient resources allocated by our customers to promoting the new product, anticipated sales by our customers not being realized or changes in market preferences or demands, or disruptive innovations by our competitors.</w:t>
      </w:r>
    </w:p>
    <w:p>
      <w:pPr>
        <w:spacing w:after="0" w:line="18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the integrity of our raw materials, supply chain and finished goods, it may result in regulatory non-compliance, litigation costs, and harm to our reputation, all of which may adversely impact sales and our results of operations.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development, manufacture and sale of our products are subject to various regulatory requirements in each of the countries in which our products are developed, manufactured and sold. In addition, we are subject to product safety and compliance requirements established by the industry or similar oversight bodies. We use a variety of strategies, methodologies and tools to (i) identify current product standards, (ii) assess relative risks in our supply chain that can impact product integrity, (iii) monitor internal and external performance and (iv) test raw materials and finished goods to minimize the likelihood of product or process non-compliance.</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Gaps in our operational processes could adversely affect the quality of our finished products and result in a regulatory non-compliance event. If a product non-compliance event were to go undetected, it could subject us to customer claims, recalls, penalties, litigation costs and settlements, remediation costs or loss of sales. As our flavors and fragrances are used as ingredients in many products meant for human consumption, these consequences would be exacerbated if our customer did not identify the defect and there was a resulting impact at the consumer level. Such a result could lead to potentially large scale adverse publicity, recalls and potential consumer litigation. Furthermore, adverse publicity about our products, including concerns about product safety or similar issues, whether real or perceived, could harm our reputation and result in an immediate adverse effect on our sales, as well as require us to utilize significant resources to rebuild our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disruption in operations or our supply chain could adversely affect our business and financial results.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a company engaged in development, manufacturing and distribution on a global scale, we are subject to the risks inherent in such activities, including industrial accidents, environmental events, strikes and other labor disputes, disruptions in supply chain or information systems, loss or impairment of key manufacturing sites, product quality control, safety, licensing requirements and other regulatory issues, as well as natural disasters and other external factors over which we have no control. If any of these events were to occur, it could have an adverse effect on our business and financial results. In addition, while we have manufacturing facilities throughout the world, certain of our facilities are the sole source of a specific ingredient or product. If the manufacture of these ingredients or products was disrupted, the cost of relocating or replacing their production or reformulating them may be substantial, which could result in production delays or otherwise have an adverse effect on our operating results, financial condition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performance may be adversely impacted if we are not successful in managing our inventory and/or working capital balances.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evaluate our inventory balances of materials based on shelf life, expected sourcing levels, known uses and anticipated demand based on forecasted customer order activity and changes in our product/sales mix. Efficient inventory management is a key component of our business success, financial returns profitability. To be successful, we must maintain sufficient inventory levels and an appropriate product/sales mix to meet our customers’ demands, without allowing those levels to increase to such an extent that the costs associated with storing and holding other inventory adversely impact our financial results. If our buying</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40"/>
          </w:cols>
          <w:pgMar w:left="240" w:top="792" w:right="319" w:bottom="1440" w:gutter="0" w:footer="0" w:header="0"/>
        </w:sectPr>
      </w:pPr>
    </w:p>
    <w:bookmarkStart w:id="13" w:name="page14"/>
    <w:bookmarkEnd w:id="13"/>
    <w:p>
      <w:pPr>
        <w:ind w:right="160"/>
        <w:spacing w:after="0" w:line="258" w:lineRule="auto"/>
        <w:rPr>
          <w:sz w:val="20"/>
          <w:szCs w:val="20"/>
          <w:color w:val="auto"/>
        </w:rPr>
      </w:pPr>
      <w:r>
        <w:rPr>
          <w:rFonts w:ascii="Times New Roman" w:cs="Times New Roman" w:eastAsia="Times New Roman" w:hAnsi="Times New Roman"/>
          <w:sz w:val="18"/>
          <w:szCs w:val="18"/>
          <w:color w:val="auto"/>
        </w:rPr>
        <w:t>decisions do not accurately predict sourcing levels, customer trends or our expectations about customer needs are inaccurate, we may have to take unanticipated markdowns or impairment charges to dispose of the excess or obsolete inventory, which can adversely impact our financial results. Additionally, we believe excess inventory levels of raw materials with a short shelf life in our manufacturing facilities subjects us to the risk of increased inventory shrinkage. If we are not successful in managing our inventory balances and shrinkage, our results from operations and cash flows from operations may be negatively affected.</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sells certain accounts receivable on a non-recourse basis to unrelated financial institutions under “factoring” agreements that are sponsored, solely and individually, by certain customers. The cost of participating in these programs was immaterial to our results in all periods. Should we choose not to participate, or if these programs were no longer available, it could reduce our cash from operations in the period in which the arrangement ends.</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Our ongoing optimization of our manufacturing facilities may not be as effective as we anticipate, and we may fail to realize the expected cost savings and increased efficiencies.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part of our strategy, we seek to enhance our manufacturing efficiency and align our geographic manufacturing footprint with our expectations of future growth. To operate more efficiently and control costs, from time to time we execute rationalization activities, which include manufacturing facility consolidations. For example, during 2014, we closed our Augusta, Georgia facility and relocated and consolidated its operations into other facilities and we are in the midst of relocating our Ingredients facility in Hangzhou China. Our ability to realize anticipated cost savings, synergies and revenue enhancements from these activities may be affected by a number of factors and may pose significant risks, including:</w:t>
      </w:r>
    </w:p>
    <w:p>
      <w:pPr>
        <w:spacing w:after="0" w:line="18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integrate successfully the relocated manufacturing operations;</w:t>
      </w:r>
    </w:p>
    <w:p>
      <w:pPr>
        <w:spacing w:after="0" w:line="225"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effectively reduce overhead, coordinate management and integrate and retain employees of the relocated manufacturing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face difficulties in implementing and maintaining consistent standards, controls, procedures, policies and information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strains on our personnel, systems and resources and diversion of attention from other priorities;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or contingent liabilities of the relocated manufacturing operations.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our rationalization and consolidation actions may not be as effective as we anticipate, and we may fail to realize the cost savings we expect from these actions. Actual charges, costs and adjustments due to these activities may vary materially from our estimates, and these activities may require cash and non-cash integration and implementation costs or charges in excess of budgeted amounts, which could offset any such savings and other synergies and therefore could have an adverse effect on our margins.</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may not achieve expected efficiencies related to the proximity of our customers’ production facilities to our manufacturing facilities, or with respect to existing or future production relocation plans.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part of our strategy, we manage our global manufacturing footprint to enhance manufacturing efficiencies andalign with our expectations of future growth and technology needs. Many of our facilities are located in close proximity to our customers in order to minimize both our customers’ and our own costs. However, we may not have sufficient demand to utilize all of our production capacity and may be required to ship excess products to other regions in which we operate, which will increase our costs and decrease our margins. In addition, our expected growth may not be realized which would result in excess capacity and reduced margins.</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laws and regulations governing anti-bribery and corruption, and non-compliance with such laws and regulations could have a material adverse impact on our business, financial condition or results of operations.</w:t>
      </w:r>
    </w:p>
    <w:p>
      <w:pPr>
        <w:spacing w:after="0" w:line="15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are subject to a wide range of laws and regulations to prevent corruption, bribery and other unethical business practices, including the U.S. Foreign Corrupt Practices Act, or FCPA, and similar laws and regulations in other countries. These laws and regulations generally prohibit companies and their intermediaries from making improper payments to foreign officials for the purpose of obtaining or keeping business or other benefits. In addition, we have manufacturing operations in some jurisdictions which pose potentially elevated risks of fraud or corruption or increased risk of internal control issues. As needed, we conduct internal investigations, control testing and compliance reviews to help ensure that we are in compliance with applicable corruption and similar laws and regulations. We could be subject to inquiries or investigations by government and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580" w:right="25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t>other regulatory bodies. Any determination that our operations or activities are not in compliance with the FCPA or similar international laws and regulations could expose us to significant fines, penalties or other sanctions that may harm our business and reputation.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compete effectively depends on our ability to protect our intellectual property rights.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rely on patents and trade secrets to protect our intellectual property rights. As part of our strategy to protect our intellectual property rights, we often rely on trade secrets to protect our proprietary fragrance and flavor formulations, as this does not require us to publicly file information regarding our intellectual property. From time to time, a third party may claim that we have infringed upon their intellectual property rights, or a third party may infringe upon our intellectual property. As a result of such third party claims, we could incur significant costs in connection with legal actions to assert our intellectual property rights or to defend ourselves from assertions of invalidity, infringement or misappropriation. For those intellectual property rights that are protected by way of trade secrets, this litigation could result in even higher costs, and potentially the loss of certain rights, as we would not have a perfected intellectual property right that precludes others from making, using or selling our products or processes.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intellectual property rights that we seek to protect through patents, we cannot be certain that these rights, if obtained, will not later be opposed, invalidated, or circumvented. In addition, even if such rights are obtained in the United States, the laws of some of the other countries in which our products are or may be sold do not protect intellectual property rights to the same extent as the laws of the United States. If other parties were to infringe on our intellectual property rights, or if a third party successfully asserted that we had infringed on their intellectual property rights, it could materially and adversely affect our future results of operations by (i) reducing the price that we could obtain in the marketplace for products which are based on such rights, (ii) increasing the royalty or other fees that we may be required to pay in connection with such rights or (iii) limiting the volume, if any, of such products that we can sell.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highly competitive, and if we are unable to compete effectively our sales and results of operations will suffer.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market for flavors and fragrances is highly competitive. We face vigorous competition from companies throughout the world, including multinational and specialized flavor and fragrance companies, as well as consumer product companies who may develop their own flavors or fragrances. Some of our competitors specialize in one or more of our product segments, while others participate in many of our product segments. In addition, some of our global competitors may have greater resources than we do or may have proprietary products that could permit them to respond to changing business and economic conditions more effectively than we can. Consolidation of our competitors may exacerbate these risks.</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Competition in our business is based on innovation, product quality, regulatory compliance, pricing, quality of our customer service, the support provided by our marketing and application groups, and our understanding of consumers. It is difficult for us to predict the timing and scale of our competitors’ actions in these areas. The discovery and development of new flavor and fragrance materials, protection of the Company’s intellectual property and development and retention of key employees are important issues in our ability to compete in our business. Increased competition by existing or future competitors, including aggressive price competition, could result in the potential loss of substantial sales or create the need for us to reduce prices or increase spending and this could have an adverse impact on sales and profitability.</w:t>
      </w:r>
    </w:p>
    <w:p>
      <w:pPr>
        <w:spacing w:after="0" w:line="18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Large multinational customers, and increasingly, mid-sized customers, may limit the number of their suppliers, giving those that remain on “core lists” priority for new or modified products. To compete more successfully in this environment, we must continue to make investments in customer relationships and tailor product research and development in order to anticipate customers’ needs, provide effective service and secure and maintain inclusion on certain “core lists.” If we are unable to do so, it could adversely impact our future results of operations.</w:t>
      </w:r>
    </w:p>
    <w:p>
      <w:pPr>
        <w:spacing w:after="0" w:line="1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on attracting and retaining talented people within our business. Significant shortfalls in recruitment or retention could adversely affect our ability to compete and achieve our strategic goals.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Attracting, developing, and retaining talented employees, including our perfumers and flavorists, is essential to the successful delivery of our products and success in the marketplace. Competition for these employees can be intense. The ability to attract and retain talented employees is critical in the development of new products and technologies which is an integral component of our growth strategy. However, we may not be able to attract and retain such employees in the future. If we experience significant shortfalls in recruitment or retention, our ability to effectively compete with our competitors and to grow our business could be adversely affected.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Our reliance on a limited base of suppliers may result in a disruption to our business and may adversely affect our financial results.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certain raw materials, we rely on a limited number of suppliers and we may not have readily available alternatives. If we are unable to maintain our supplier arrangements and relationships and are unable to obtain the quantity, quality and price levels needed for our business, or if any of our key suppliers becomes insolvent or experiences other financial distress, we could experience disruptions in production and our financial results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negatively impacted by the outcome of uncertainties related to litigation.</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are involved in a number of legal claims and litigation, including claims related to indirect taxes. We cannot predict the ultimate outcome of such litigation. In addition, we cannot provide assurance that future events will not result in an increase in the number of claims or require an increase in the amount accrued for any such claims, or require accrual for one or more claims that has not been previously accrued.</w:t>
      </w:r>
    </w:p>
    <w:p>
      <w:pPr>
        <w:spacing w:after="0" w:line="17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The level of returns on pension and postretirement plan assets and the actuarial assumptions used for valuation purposes could affect our earnings and cash flows in future periods. Changes in government regulations could also affect our pension and postretirement plan expenses and funding requirements.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funding obligations for our pension plans are impacted by the performance of the financial markets, particularly the equity markets, and interest rates. Funding obligations are determined under government regulations and are measured each year based on the value of assets and liabilities on a specific date. If the financial markets do not provide the long-term returns that are expected under the governmental funding calculations, we could be required to make larger contributions. The equity markets can be very volatile, and therefore our estimate of future contribution requirements can change dramatically in relatively short periods of time. Similarly, changes in interest rates and legislation enacted by governmental authorities can impact the timing and amounts of contribution requirements. An adverse change in the funded status of the plans could significantly increase our required contributions in the future and adversely impact our liquidity.</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Assumptions used in determining projected benefit obligations and the fair value of plan assets for our pension and other postretirement benefit plans are determined by us in consultation with outside consultants and advisors. In the event that we determine that changes are warranted in the assumptions used, such as the discount rate, expected long-term rate of return on assets, or expected health care costs, our future pension and postretirement benefit expenses could increase or decrease. Due to changing market conditions or changes in the participant population, the assumptions that we use may differ from actual results, which could have a significant impact on our pension and postretirement liabilities and related costs and funding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 on our long-lived assets could have a material adverse effect on our financial results.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Future events may occur that could adversely affect the reported value of our long-lived assets and require impairment charges. Such events may include, but are not limited to, strategic decisions made in response to changes in economic and competitive conditions, the impact of the economic environment on our sales and our relationship with significant customers or business partners, or a sustained decline in our stock price. We continue to evaluate the impact of economic and other developments on our business to assess whether impairment indicators are present. Accordingly, we may perform impairment tests more frequently than annually required, based on changes in the economic environment and other factors, and these tests could result in impairment charges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results may be adversely impacted by the failure to successfully execute acquisitions, collaborations and joint ventures.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we may evaluate and enter into acquisitions, collaborations or joint ventures that align with our strategic objectives. The success of such activity depends, in part, upon our ability to identify suitable targets or partners, perform effective assessments prior to contract execution, negotiate contract terms, and, if applicable, obtain governmental approvals. For example, in January 2014, we completed the acquisition of Aromor Flavors and Fragrances Ltd., a manufacturer and marketer of complex specialty ingredients. These activities may present certain financial, managerial and operational risks, including diversion of management’s attention from existing core businesses; difficulties integrating or separating businesses from existing operations, including employee integration; and challenges presented by acquisitions, collaborations or joint ventures which may not achieve sales levels and profitability that justify the investments made. If the acquisitions, collaborations or joint ventures are not successfully implemented or completed, there could be a negative impact on our results of operations, financial condition and cash flows.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576" w:right="259" w:bottom="1440" w:gutter="0" w:footer="0" w:header="0"/>
        </w:sectPr>
      </w:pPr>
    </w:p>
    <w:bookmarkStart w:id="16" w:name="page17"/>
    <w:bookmarkEnd w:id="16"/>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Changes in our tax rates, the adoption of new U.S. or international tax legislation or exposure to additional tax liabilities could affect our future results.</w:t>
      </w:r>
    </w:p>
    <w:p>
      <w:pPr>
        <w:spacing w:after="0" w:line="15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subject to taxes in the United States and numerous foreign jurisdictions. Our future effective tax rates could be affected by changes in the mix of earnings in countries with differing statutory tax rates, changes in the valuation of deferred tax assets and liabilities, changes in liabilities for uncertain tax positions, cost of repatriations or changes in tax laws or their interpretation. In addition, the current administration and Congress have announced proposals for new U.S. tax legislation that, if adopted, could affect our tax rate. Any of these changes could have a material adverse effect on our profitability.</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also subject to the continual examination of our income tax returns by the Internal Revenue Service and foreign tax authorities in those countries in which we operate.</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and will continue to implement transfer pricing policies among our various operations located in different countries. These transfer pricing policies are a significant component of the management of our operations across international boundaries and overall financial results. Many countries routinely examine transfer pricing policies of taxpayers subject to their jurisdiction, challenge transfer pricing policies aggressively where there is potential non-compliance and impose significant interest charges and penalties where non-compliance is determined. There can be no assurance that a governmental authority will not challenge these policies more aggressively in the future or, if challenged, that we will prevail. We could suffer significant costs related to one or more challenges to our transfer pricing.</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be subject to assessments or audits in the future in any of the countries in which we operate. The final determination of tax audits and any related litigation could be materially different from our historical income tax provisions and accruals, and while we do not believe the results that follow would have a material adverse effect on our financial condition, such results could have a material effect on our income tax provision, net income or cash flows in the period or periods in which that determination is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affected by greenhouse emissions and climate change and related regulations.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availability of raw materials and energy supplies fluctuate in markets throughout the world. Climate change may also affect the availability and price of key raw materials, including natural products used in the manufacture of our products. In order to mitigate the risk of price increases and shortages, our purchasers have developed various sourcing strategies, including multiple suppliers, inventory management systems, various geographic suppliers and long-term agreements to mitigate risk.</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to market forces, there are various regulatory efforts relating to climate change that may increase the cost of raw materials, particularly energy used to operate our facilities, that could materially impact our financial condition, results of operations and cash flows.</w:t>
      </w:r>
    </w:p>
    <w:p>
      <w:pPr>
        <w:spacing w:after="0" w:line="15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Information technology system failures or disruptions or breaches of our network security may adversely affect our business, interrupt our operations, subject us to increased operating costs and expose us to litigation.</w:t>
      </w:r>
    </w:p>
    <w:p>
      <w:pPr>
        <w:spacing w:after="0" w:line="15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have information technology systems that support our business processes, including product formulas, product development, sales, order processing, production, distribution, finance and intra-company communications throughout the world. These systems may be susceptible to outages due to fire, floods, power loss, telecommunications failures, natural disasters, break-ins and similar events. Effective response to such disruptions will require effort and diligence on the part of our third-party vendors and employees to avoid any adverse impact to our information technology systems. In addition, our systems and proprietary data stored electronically may be vulnerable to computer viruses, cybercrime, computer hacking and similar disruptions from unauthorized tampering. If such unauthorized use of our systems were to occur, data related to our product formulas, product development and other proprietary information could be compromised. The occurrence of any of these events could adversely affect our business, interrupt our operations, subject us to increased operating costs and expose us to litigation.</w:t>
      </w:r>
    </w:p>
    <w:p>
      <w:pPr>
        <w:spacing w:after="0" w:line="18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potential government regulation of certain of our product development initiatives is uncertain, and we may be subject to adverse consequences if we fail to comply with applicable regulations.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part of our ingredients research program, we seek to collaborate with research institutions and companies throughout the world, including biotechnology companies. However, it is unclear whether any of our product developments will be classified as genetically modified food products subject to regulation as a biotechnology product. The manufacture of biotechnology products is subject to applicable Current Good Manufacturing Practice (cGMP) regulations as prescribed by the Food and Drug Administration and the applicable standards prescribed by European Commission and the competent authorities of European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792" w:right="259" w:bottom="1440" w:gutter="0" w:footer="0" w:header="0"/>
        </w:sectPr>
      </w:pPr>
    </w:p>
    <w:bookmarkStart w:id="17" w:name="page18"/>
    <w:bookmarkEnd w:id="17"/>
    <w:p>
      <w:pPr>
        <w:spacing w:after="0" w:line="261" w:lineRule="auto"/>
        <w:rPr>
          <w:sz w:val="20"/>
          <w:szCs w:val="20"/>
          <w:color w:val="auto"/>
        </w:rPr>
      </w:pPr>
      <w:r>
        <w:rPr>
          <w:rFonts w:ascii="Times New Roman" w:cs="Times New Roman" w:eastAsia="Times New Roman" w:hAnsi="Times New Roman"/>
          <w:sz w:val="18"/>
          <w:szCs w:val="18"/>
          <w:color w:val="auto"/>
        </w:rPr>
        <w:t>Union Member States and to other rules and regulations prescribed by foreign regulatory authorities. Compliance with these regulations can be expensive and time consuming. Such regulation could also subject us to requirements for labeling and traceability, which may cause our customers to avoid our affected products and seek our competitors’ products. This may result in our inability to realize any benefit from our investment and have an adverse effect on our operating results.</w:t>
      </w:r>
    </w:p>
    <w:p>
      <w:pPr>
        <w:spacing w:after="0" w:line="311"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64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24"/>
        </w:trPr>
        <w:tc>
          <w:tcPr>
            <w:tcW w:w="42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Our principal properties are as follows:</w:t>
            </w: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97"/>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6260" w:type="dxa"/>
            <w:vAlign w:val="bottom"/>
          </w:tcPr>
          <w:p>
            <w:pPr>
              <w:spacing w:after="0"/>
              <w:rPr>
                <w:sz w:val="24"/>
                <w:szCs w:val="24"/>
                <w:color w:val="auto"/>
              </w:rPr>
            </w:pPr>
          </w:p>
        </w:tc>
      </w:tr>
      <w:tr>
        <w:trPr>
          <w:trHeight w:val="26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60" w:type="dxa"/>
            <w:vAlign w:val="bottom"/>
          </w:tcPr>
          <w:p>
            <w:pPr>
              <w:spacing w:after="0"/>
              <w:rPr>
                <w:sz w:val="22"/>
                <w:szCs w:val="22"/>
                <w:color w:val="auto"/>
              </w:rPr>
            </w:pPr>
          </w:p>
        </w:tc>
      </w:tr>
      <w:tr>
        <w:trPr>
          <w:trHeight w:val="306"/>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Carrollton, TX</w:t>
            </w:r>
            <w:r>
              <w:rPr>
                <w:rFonts w:ascii="Times New Roman" w:cs="Times New Roman" w:eastAsia="Times New Roman" w:hAnsi="Times New Roman"/>
                <w:sz w:val="25"/>
                <w:szCs w:val="25"/>
                <w:color w:val="auto"/>
                <w:vertAlign w:val="superscript"/>
              </w:rPr>
              <w:t>(1)</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flavor laboratories.</w:t>
            </w:r>
          </w:p>
        </w:tc>
      </w:tr>
      <w:tr>
        <w:trPr>
          <w:trHeight w:val="270"/>
        </w:trPr>
        <w:tc>
          <w:tcPr>
            <w:tcW w:w="1260" w:type="dxa"/>
            <w:vAlign w:val="bottom"/>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w w:val="94"/>
              </w:rPr>
              <w:t>Hazlet, NJ</w:t>
            </w:r>
            <w:r>
              <w:rPr>
                <w:rFonts w:ascii="Times New Roman" w:cs="Times New Roman" w:eastAsia="Times New Roman" w:hAnsi="Times New Roman"/>
                <w:sz w:val="25"/>
                <w:szCs w:val="25"/>
                <w:color w:val="auto"/>
                <w:w w:val="94"/>
                <w:vertAlign w:val="superscript"/>
              </w:rPr>
              <w:t>(1)</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compounds; fragrance laboratories.</w:t>
            </w:r>
          </w:p>
        </w:tc>
      </w:tr>
      <w:tr>
        <w:trPr>
          <w:trHeight w:val="234"/>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Jacksonville, FL</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ingredients.</w:t>
            </w:r>
          </w:p>
        </w:tc>
      </w:tr>
      <w:tr>
        <w:trPr>
          <w:trHeight w:val="306"/>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New York, NY</w:t>
            </w:r>
            <w:r>
              <w:rPr>
                <w:rFonts w:ascii="Times New Roman" w:cs="Times New Roman" w:eastAsia="Times New Roman" w:hAnsi="Times New Roman"/>
                <w:sz w:val="25"/>
                <w:szCs w:val="25"/>
                <w:color w:val="auto"/>
                <w:vertAlign w:val="superscript"/>
              </w:rPr>
              <w:t>(1)</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Fragrance laboratories; corporate headquarters.</w:t>
            </w:r>
          </w:p>
        </w:tc>
      </w:tr>
      <w:tr>
        <w:trPr>
          <w:trHeight w:val="270"/>
        </w:trPr>
        <w:tc>
          <w:tcPr>
            <w:tcW w:w="4220" w:type="dxa"/>
            <w:vAlign w:val="bottom"/>
            <w:gridSpan w:val="3"/>
          </w:tcPr>
          <w:p>
            <w:pPr>
              <w:ind w:left="340"/>
              <w:spacing w:after="0" w:line="270" w:lineRule="exact"/>
              <w:rPr>
                <w:sz w:val="20"/>
                <w:szCs w:val="20"/>
                <w:color w:val="auto"/>
              </w:rPr>
            </w:pPr>
            <w:r>
              <w:rPr>
                <w:rFonts w:ascii="Times New Roman" w:cs="Times New Roman" w:eastAsia="Times New Roman" w:hAnsi="Times New Roman"/>
                <w:sz w:val="18"/>
                <w:szCs w:val="18"/>
                <w:color w:val="auto"/>
              </w:rPr>
              <w:t>South Brunswick, NJ</w:t>
            </w:r>
            <w:r>
              <w:rPr>
                <w:rFonts w:ascii="Times New Roman" w:cs="Times New Roman" w:eastAsia="Times New Roman" w:hAnsi="Times New Roman"/>
                <w:sz w:val="25"/>
                <w:szCs w:val="25"/>
                <w:color w:val="auto"/>
                <w:vertAlign w:val="superscript"/>
              </w:rPr>
              <w:t>(1)</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ingredients; flavor laboratories.</w:t>
            </w:r>
          </w:p>
        </w:tc>
      </w:tr>
      <w:tr>
        <w:trPr>
          <w:trHeight w:val="234"/>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Union Beach, NJ</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center.</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France</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06"/>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Neuilly</w:t>
            </w:r>
            <w:r>
              <w:rPr>
                <w:rFonts w:ascii="Times New Roman" w:cs="Times New Roman" w:eastAsia="Times New Roman" w:hAnsi="Times New Roman"/>
                <w:sz w:val="25"/>
                <w:szCs w:val="25"/>
                <w:color w:val="auto"/>
                <w:vertAlign w:val="superscript"/>
              </w:rPr>
              <w:t>(1)</w:t>
            </w:r>
          </w:p>
        </w:tc>
        <w:tc>
          <w:tcPr>
            <w:tcW w:w="29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Fragrance laboratories.</w:t>
            </w:r>
          </w:p>
        </w:tc>
      </w:tr>
      <w:tr>
        <w:trPr>
          <w:trHeight w:val="234"/>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Grasse</w:t>
            </w:r>
          </w:p>
        </w:tc>
        <w:tc>
          <w:tcPr>
            <w:tcW w:w="296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and fragrance ingredients; fragrance laboratories.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Great Britain</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Haverhill</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ingredients, and fragrance ingredients; flavor laboratories.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Netherlands</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Hilversum</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Tilburg</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ingredients, and fragrance compounds.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Spain</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Benicarló</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ingredients.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Garin</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Production of flavor compounds and ingredients, and fragrance compounds; flavor laboratories.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Brazil</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Rio de Janeiro</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compounds.</w:t>
            </w: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São Paulo</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Taubate</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ingredients.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Tlalnepantla</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and fragrance compounds; flavor and fragrance laboratories.</w:t>
            </w:r>
          </w:p>
        </w:tc>
      </w:tr>
      <w:tr>
        <w:trPr>
          <w:trHeight w:val="486"/>
        </w:trPr>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9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380"/>
          </w:cols>
          <w:pgMar w:left="240" w:top="580" w:right="27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3680" w:type="dxa"/>
            <w:vAlign w:val="bottom"/>
          </w:tcPr>
          <w:p>
            <w:pPr>
              <w:spacing w:after="0"/>
              <w:rPr>
                <w:sz w:val="13"/>
                <w:szCs w:val="13"/>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6260" w:type="dxa"/>
            <w:vAlign w:val="bottom"/>
          </w:tcPr>
          <w:p>
            <w:pPr>
              <w:spacing w:after="0"/>
              <w:rPr>
                <w:sz w:val="13"/>
                <w:szCs w:val="13"/>
                <w:color w:val="auto"/>
              </w:rPr>
            </w:pPr>
          </w:p>
        </w:tc>
      </w:tr>
      <w:tr>
        <w:trPr>
          <w:trHeight w:val="264"/>
        </w:trPr>
        <w:tc>
          <w:tcPr>
            <w:tcW w:w="40" w:type="dxa"/>
            <w:vAlign w:val="bottom"/>
          </w:tcPr>
          <w:p>
            <w:pPr>
              <w:spacing w:after="0"/>
              <w:rPr>
                <w:sz w:val="22"/>
                <w:szCs w:val="22"/>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India</w:t>
            </w:r>
          </w:p>
        </w:tc>
        <w:tc>
          <w:tcPr>
            <w:tcW w:w="640" w:type="dxa"/>
            <w:vAlign w:val="bottom"/>
          </w:tcPr>
          <w:p>
            <w:pPr>
              <w:spacing w:after="0"/>
              <w:rPr>
                <w:sz w:val="22"/>
                <w:szCs w:val="22"/>
                <w:color w:val="auto"/>
              </w:rPr>
            </w:pPr>
          </w:p>
        </w:tc>
        <w:tc>
          <w:tcPr>
            <w:tcW w:w="62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Mumbai</w:t>
            </w:r>
            <w:r>
              <w:rPr>
                <w:rFonts w:ascii="Times New Roman" w:cs="Times New Roman" w:eastAsia="Times New Roman" w:hAnsi="Times New Roman"/>
                <w:sz w:val="25"/>
                <w:szCs w:val="25"/>
                <w:color w:val="auto"/>
                <w:vertAlign w:val="superscript"/>
              </w:rPr>
              <w:t>(2)</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333"/>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Chennai</w:t>
            </w:r>
            <w:r>
              <w:rPr>
                <w:rFonts w:ascii="Times New Roman" w:cs="Times New Roman" w:eastAsia="Times New Roman" w:hAnsi="Times New Roman"/>
                <w:sz w:val="25"/>
                <w:szCs w:val="25"/>
                <w:color w:val="auto"/>
                <w:vertAlign w:val="superscript"/>
              </w:rPr>
              <w:t>(2)</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Production of flavor compounds and ingredients, and fragrance compounds; flavor laboratories.</w:t>
            </w:r>
          </w:p>
        </w:tc>
      </w:tr>
      <w:tr>
        <w:trPr>
          <w:trHeight w:val="293"/>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Dandenong</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flavor ingredients.</w:t>
            </w:r>
          </w:p>
        </w:tc>
      </w:tr>
      <w:tr>
        <w:trPr>
          <w:trHeight w:val="392"/>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China</w:t>
            </w: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06"/>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Guangzhou</w:t>
            </w:r>
            <w:r>
              <w:rPr>
                <w:rFonts w:ascii="Times New Roman" w:cs="Times New Roman" w:eastAsia="Times New Roman" w:hAnsi="Times New Roman"/>
                <w:sz w:val="25"/>
                <w:szCs w:val="25"/>
                <w:color w:val="auto"/>
                <w:vertAlign w:val="superscript"/>
              </w:rPr>
              <w:t>(3)</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w:t>
            </w: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Guangzhou</w:t>
            </w:r>
            <w:r>
              <w:rPr>
                <w:rFonts w:ascii="Times New Roman" w:cs="Times New Roman" w:eastAsia="Times New Roman" w:hAnsi="Times New Roman"/>
                <w:sz w:val="25"/>
                <w:szCs w:val="25"/>
                <w:color w:val="auto"/>
                <w:vertAlign w:val="superscript"/>
              </w:rPr>
              <w:t>(3)</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compounds.</w:t>
            </w: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Shanghai</w:t>
            </w:r>
            <w:r>
              <w:rPr>
                <w:rFonts w:ascii="Times New Roman" w:cs="Times New Roman" w:eastAsia="Times New Roman" w:hAnsi="Times New Roman"/>
                <w:sz w:val="25"/>
                <w:szCs w:val="25"/>
                <w:color w:val="auto"/>
                <w:vertAlign w:val="superscript"/>
              </w:rPr>
              <w:t>(4)</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Xin’anjiang</w:t>
            </w:r>
            <w:r>
              <w:rPr>
                <w:rFonts w:ascii="Times New Roman" w:cs="Times New Roman" w:eastAsia="Times New Roman" w:hAnsi="Times New Roman"/>
                <w:sz w:val="25"/>
                <w:szCs w:val="25"/>
                <w:color w:val="auto"/>
                <w:vertAlign w:val="superscript"/>
              </w:rPr>
              <w:t>(5)</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ingredients.</w:t>
            </w:r>
          </w:p>
        </w:tc>
      </w:tr>
      <w:tr>
        <w:trPr>
          <w:trHeight w:val="333"/>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Zhejiang</w:t>
            </w:r>
            <w:r>
              <w:rPr>
                <w:rFonts w:ascii="Times New Roman" w:cs="Times New Roman" w:eastAsia="Times New Roman" w:hAnsi="Times New Roman"/>
                <w:sz w:val="25"/>
                <w:szCs w:val="25"/>
                <w:color w:val="auto"/>
                <w:vertAlign w:val="superscript"/>
              </w:rPr>
              <w:t>(3)</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ingredients.</w:t>
            </w:r>
          </w:p>
        </w:tc>
      </w:tr>
      <w:tr>
        <w:trPr>
          <w:trHeight w:val="293"/>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Indonesia</w:t>
            </w: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Jakarta</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ingredients; flavor and fragrance laboratories.</w:t>
            </w:r>
          </w:p>
        </w:tc>
      </w:tr>
      <w:tr>
        <w:trPr>
          <w:trHeight w:val="392"/>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Gotemba</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w:t>
            </w: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Tokyo</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392"/>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06"/>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Jurong</w:t>
            </w:r>
            <w:r>
              <w:rPr>
                <w:rFonts w:ascii="Times New Roman" w:cs="Times New Roman" w:eastAsia="Times New Roman" w:hAnsi="Times New Roman"/>
                <w:sz w:val="25"/>
                <w:szCs w:val="25"/>
                <w:color w:val="auto"/>
                <w:vertAlign w:val="superscript"/>
              </w:rPr>
              <w:t>(4)</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and fragrance compounds.</w:t>
            </w:r>
          </w:p>
        </w:tc>
      </w:tr>
      <w:tr>
        <w:trPr>
          <w:trHeight w:val="333"/>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Science Park</w:t>
            </w:r>
            <w:r>
              <w:rPr>
                <w:rFonts w:ascii="Times New Roman" w:cs="Times New Roman" w:eastAsia="Times New Roman" w:hAnsi="Times New Roman"/>
                <w:sz w:val="25"/>
                <w:szCs w:val="25"/>
                <w:color w:val="auto"/>
                <w:vertAlign w:val="superscript"/>
              </w:rPr>
              <w:t>(1)</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293"/>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Turkey</w:t>
            </w: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Gebze</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w:t>
            </w:r>
          </w:p>
        </w:tc>
      </w:tr>
      <w:tr>
        <w:trPr>
          <w:trHeight w:val="405"/>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4220" w:type="dxa"/>
            <w:vAlign w:val="bottom"/>
            <w:gridSpan w:val="2"/>
          </w:tcPr>
          <w:p>
            <w:pPr>
              <w:ind w:left="340"/>
              <w:spacing w:after="0" w:line="278" w:lineRule="exact"/>
              <w:rPr>
                <w:sz w:val="20"/>
                <w:szCs w:val="20"/>
                <w:color w:val="auto"/>
              </w:rPr>
            </w:pPr>
            <w:r>
              <w:rPr>
                <w:rFonts w:ascii="Times New Roman" w:cs="Times New Roman" w:eastAsia="Times New Roman" w:hAnsi="Times New Roman"/>
                <w:sz w:val="18"/>
                <w:szCs w:val="18"/>
                <w:color w:val="auto"/>
              </w:rPr>
              <w:t>Kibbutz Givat-Oz</w:t>
            </w:r>
            <w:r>
              <w:rPr>
                <w:rFonts w:ascii="Times New Roman" w:cs="Times New Roman" w:eastAsia="Times New Roman" w:hAnsi="Times New Roman"/>
                <w:sz w:val="25"/>
                <w:szCs w:val="25"/>
                <w:color w:val="auto"/>
                <w:vertAlign w:val="superscript"/>
              </w:rPr>
              <w:t>(3)</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ingredients manufacturing and laboratories.</w:t>
            </w:r>
          </w:p>
        </w:tc>
      </w:tr>
      <w:tr>
        <w:trPr>
          <w:trHeight w:val="234"/>
        </w:trPr>
        <w:tc>
          <w:tcPr>
            <w:tcW w:w="4260" w:type="dxa"/>
            <w:vAlign w:val="bottom"/>
            <w:gridSpan w:val="3"/>
          </w:tcPr>
          <w:p>
            <w:pPr>
              <w:jc w:val="right"/>
              <w:ind w:right="2180"/>
              <w:spacing w:after="0"/>
              <w:rPr>
                <w:sz w:val="20"/>
                <w:szCs w:val="20"/>
                <w:color w:val="auto"/>
              </w:rPr>
            </w:pPr>
            <w:r>
              <w:rPr>
                <w:rFonts w:ascii="Times New Roman" w:cs="Times New Roman" w:eastAsia="Times New Roman" w:hAnsi="Times New Roman"/>
                <w:sz w:val="18"/>
                <w:szCs w:val="18"/>
                <w:color w:val="auto"/>
                <w:w w:val="99"/>
              </w:rPr>
              <w:t>_______________________</w:t>
            </w:r>
          </w:p>
        </w:tc>
        <w:tc>
          <w:tcPr>
            <w:tcW w:w="640" w:type="dxa"/>
            <w:vAlign w:val="bottom"/>
          </w:tcPr>
          <w:p>
            <w:pPr>
              <w:spacing w:after="0"/>
              <w:rPr>
                <w:sz w:val="20"/>
                <w:szCs w:val="20"/>
                <w:color w:val="auto"/>
              </w:rPr>
            </w:pPr>
          </w:p>
        </w:tc>
        <w:tc>
          <w:tcPr>
            <w:tcW w:w="6260" w:type="dxa"/>
            <w:vAlign w:val="bottom"/>
          </w:tcPr>
          <w:p>
            <w:pPr>
              <w:spacing w:after="0"/>
              <w:rPr>
                <w:sz w:val="20"/>
                <w:szCs w:val="20"/>
                <w:color w:val="auto"/>
              </w:rPr>
            </w:pPr>
          </w:p>
        </w:tc>
      </w:tr>
    </w:tbl>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93.4% interest in the subsidiary company that owns this facility.</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is leased and building and machinery and equipment are owned.</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is leased and machinery and equipment are owned.</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90% interest in the subsidiary company that leases the land and owns the buildings and machinery.</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principal executive offices and New York laboratory facilities are located at 521 West 57th Street, New York City.</w:t>
      </w:r>
    </w:p>
    <w:p>
      <w:pPr>
        <w:spacing w:after="0" w:line="35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subject to various claims and legal actions in the ordinary course of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Claims</w:t>
      </w:r>
    </w:p>
    <w:p>
      <w:pPr>
        <w:spacing w:after="0" w:line="94"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We are currently involved in administrative and legal proceedings with the Spanish tax authorities that challenge tax deductions taken in our Spanish subsidiaries’ tax returns and allege claims of tax avoidance.</w:t>
      </w:r>
    </w:p>
    <w:p>
      <w:pPr>
        <w:spacing w:after="0" w:line="108"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2012, we reached an overall settlement with the Spanish tax authorities regarding income tax deductions taken by our Spanish subsidiaries for the 2004-2010 fiscal years and entered into a multi-year agreement with the Spanish tax authorities that established the tax basis for our activities in Spain for 2012 through 2014 consistent with the key principles preliminarily agreed upon as part of the overall settlement. The settlement agreement did not address the assessments for the 2002-2003 fiscal years, as these were further along in the Spanish judicial process, and did not address the 2011 fiscal year. During 2013, we reached a settlement with the Spanish tax authorities related to the 2011 fiscal year, on a basis consistent with the overall settlement reached for the 2004-2010 fiscal years.</w:t>
      </w:r>
    </w:p>
    <w:p>
      <w:pPr>
        <w:spacing w:after="0" w:line="134"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With respect to the audits of 2002-2003 fiscal years, the Spanish tax authorities imposed assessments aggregating Euro 22.4 million ($28.6 million), including aggregate estimated interest. The Company appealed these assessments, however, in</w:t>
      </w:r>
    </w:p>
    <w:p>
      <w:pPr>
        <w:sectPr>
          <w:pgSz w:w="11900" w:h="16838" w:orient="portrait"/>
          <w:cols w:equalWidth="0" w:num="1">
            <w:col w:w="11400"/>
          </w:cols>
          <w:pgMar w:left="240" w:top="735" w:right="25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735" w:right="259" w:bottom="1440" w:gutter="0" w:footer="0" w:header="0"/>
          <w:type w:val="continuous"/>
        </w:sectPr>
      </w:pPr>
    </w:p>
    <w:bookmarkStart w:id="19" w:name="page20"/>
    <w:bookmarkEnd w:id="19"/>
    <w:p>
      <w:pPr>
        <w:ind w:right="60"/>
        <w:spacing w:after="0" w:line="255" w:lineRule="auto"/>
        <w:rPr>
          <w:sz w:val="20"/>
          <w:szCs w:val="20"/>
          <w:color w:val="auto"/>
        </w:rPr>
      </w:pPr>
      <w:r>
        <w:rPr>
          <w:rFonts w:ascii="Times New Roman" w:cs="Times New Roman" w:eastAsia="Times New Roman" w:hAnsi="Times New Roman"/>
          <w:sz w:val="18"/>
          <w:szCs w:val="18"/>
          <w:color w:val="auto"/>
        </w:rPr>
        <w:t>February 2013, the Appellate Court upheld the administrative ruling with respect to the 2003 tax assessment and the related tax avoidance claims. The Company decided not to pursue the appeals process with respect to the 2003 tax assessment and paid Euro 20.8 million ($27.3 million based on the exchange rate at the respective payment dates) in connection with the 2003 tax assessment in 2013. In June 2013, the Appellate Court ruled against us on our appeal of the 2002 income tax assessment and related claims, which the Company also decided not to appeal. However, this case did not have a related tax exposure associated with it. In an unrelated matter, there was a remaining aggregate assessment related to the 2002 fiscal year of Euro 1.9 million ($2.3 million) as of December 31, 2014. To proceed with its appeal of the tax assessment for the 2002 fiscal year, the Company was required to post bank guarantees. As of December 31, 2014, the Company had remaining posted bank guarantees of Euro 1.9 million ($2.3 million) associated with the 2002 appeal. On February 11, 2015, the Company received a favorable ruling on this appeal.</w:t>
      </w:r>
    </w:p>
    <w:p>
      <w:pPr>
        <w:spacing w:after="0" w:line="13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addition to the above, the Company has also been a party to four dividend withholding tax controversies in Spain in which the Spanish tax authorities alleged that the Company’s Spanish subsidiaries underpaid withholding taxes during the 1995-2001 fiscal years. The Company had previously appealed each of these controversies. During 2012, the Company received unfavorable decisions on the first three cases. At December 31, 2014, the Company had Euro 4.7 million ($5.6 million) reflected in income taxes payable in connection with these three cases and had posted bank guarantees of Euro 4.7 million ($5.6 million) in order to proceed with the appeals in these three cases. The fourth case was heard by the Spanish National High Court in October, 2014 and we received a favorable ruling. Accordingly, during the fourth quarter of 2014, we reversed the total reserve related to the 2001 fiscal year (with a value of Euro 3.6 million of $4.3 million).</w:t>
      </w:r>
    </w:p>
    <w:p>
      <w:pPr>
        <w:spacing w:after="0" w:line="13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Spanish tax authorities also alleged claims related to capital tax positions arising from the business structure adopted by our Spanish subsidiaries. The aggregate amount of these claims was Euro 9.6 million ($13.2 million), including aggregate estimated interest through December 31, 2014. Our previous settlement in 2012 with the Spanish tax authorities addressed only the income tax assessments and did not address the capital tax positions. In connection with their ruling on our 2002 income tax assessment, the Appellate Court rejected one of the two bases upon which we based our capital tax position. During 2013, the Company was notified that the Spanish High Court of Justice ruled against us in regards to the 2002 capital tax case. As a result, the Company recorded a charge of Euro 9.6 million ($13.0 million or $9.1 million, after tax), included in selling and administrative expenses for the year ended December 31, 2013. On January 22, 2014, we filed an appeal. In order to avoid future interest costs in the event our appeal is unsuccessful, we paid $11.2 million (representing the principal amount) during the first quarter of 2014. Such amount will be refundable if we prevail in our appeal.</w:t>
      </w:r>
    </w:p>
    <w:p>
      <w:pPr>
        <w:spacing w:after="0" w:line="131"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We do not currently believe that any of our pending tax assessments, even if ultimately resolved against us, would have a material impact on our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94"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2"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We have been identified as a PRP at nine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42" w:right="239" w:bottom="1440" w:gutter="0" w:footer="0" w:header="0"/>
        </w:sectPr>
      </w:pPr>
    </w:p>
    <w:bookmarkStart w:id="20" w:name="page21"/>
    <w:bookmarkEnd w:id="20"/>
    <w:p>
      <w:pPr>
        <w:ind w:right="80"/>
        <w:spacing w:after="0" w:line="255" w:lineRule="auto"/>
        <w:rPr>
          <w:sz w:val="20"/>
          <w:szCs w:val="20"/>
          <w:color w:val="auto"/>
        </w:rPr>
      </w:pPr>
      <w:r>
        <w:rPr>
          <w:rFonts w:ascii="Times New Roman" w:cs="Times New Roman" w:eastAsia="Times New Roman" w:hAnsi="Times New Roman"/>
          <w:sz w:val="18"/>
          <w:szCs w:val="18"/>
          <w:color w:val="auto"/>
        </w:rPr>
        <w:t>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late 2015.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31"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We are also a party to other litigation arising in the ordinary course of our business. We do not expect the outcome of these cases, singly or in the aggregate, to have a material effect on our consolidated financial condition.</w:t>
      </w:r>
    </w:p>
    <w:p>
      <w:pPr>
        <w:spacing w:after="0" w:line="29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9" w:lineRule="exact"/>
        <w:rPr>
          <w:sz w:val="20"/>
          <w:szCs w:val="20"/>
          <w:color w:val="auto"/>
        </w:rPr>
      </w:pPr>
    </w:p>
    <w:p>
      <w:pPr>
        <w:ind w:left="1300" w:right="240" w:hanging="125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traded principally on the New York Stock Exchange. The high and low stock prices for each quarter during the last two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980" w:type="dxa"/>
            <w:vAlign w:val="bottom"/>
            <w:tcBorders>
              <w:bottom w:val="single" w:sz="8" w:color="auto"/>
            </w:tcBorders>
          </w:tcPr>
          <w:p>
            <w:pPr>
              <w:spacing w:after="0"/>
              <w:rPr>
                <w:sz w:val="16"/>
                <w:szCs w:val="16"/>
                <w:color w:val="auto"/>
              </w:rPr>
            </w:pPr>
          </w:p>
        </w:tc>
      </w:tr>
      <w:tr>
        <w:trPr>
          <w:trHeight w:val="228"/>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60" w:type="dxa"/>
            <w:vAlign w:val="bottom"/>
          </w:tcPr>
          <w:p>
            <w:pPr>
              <w:spacing w:after="0"/>
              <w:rPr>
                <w:sz w:val="19"/>
                <w:szCs w:val="19"/>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Low</w:t>
            </w:r>
          </w:p>
        </w:tc>
        <w:tc>
          <w:tcPr>
            <w:tcW w:w="500" w:type="dxa"/>
            <w:vAlign w:val="bottom"/>
          </w:tcPr>
          <w:p>
            <w:pPr>
              <w:spacing w:after="0"/>
              <w:rPr>
                <w:sz w:val="19"/>
                <w:szCs w:val="19"/>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65.74</w:t>
            </w:r>
          </w:p>
        </w:tc>
      </w:tr>
      <w:tr>
        <w:trPr>
          <w:trHeight w:val="243"/>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Second</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73.02</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95.51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75.86</w:t>
            </w:r>
          </w:p>
        </w:tc>
      </w:tr>
      <w:tr>
        <w:trPr>
          <w:trHeight w:val="243"/>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Fourth</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91.64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79.59</w:t>
            </w:r>
          </w:p>
        </w:tc>
      </w:tr>
      <w:tr>
        <w:trPr>
          <w:trHeight w:val="405"/>
        </w:trPr>
        <w:tc>
          <w:tcPr>
            <w:tcW w:w="40" w:type="dxa"/>
            <w:vAlign w:val="bottom"/>
          </w:tcPr>
          <w:p>
            <w:pPr>
              <w:spacing w:after="0"/>
              <w:rPr>
                <w:sz w:val="24"/>
                <w:szCs w:val="24"/>
                <w:color w:val="auto"/>
              </w:rPr>
            </w:pPr>
          </w:p>
        </w:tc>
        <w:tc>
          <w:tcPr>
            <w:tcW w:w="51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Approximate Number of Equity Security Holders.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0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10"/>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 shareholders of record as of February 12, 2015</w:t>
            </w:r>
          </w:p>
        </w:tc>
        <w:tc>
          <w:tcPr>
            <w:tcW w:w="9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6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xml:space="preserve">Common stock, par value 12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per share</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7"/>
        </w:trPr>
        <w:tc>
          <w:tcPr>
            <w:tcW w:w="40" w:type="dxa"/>
            <w:vAlign w:val="bottom"/>
          </w:tcPr>
          <w:p>
            <w:pPr>
              <w:spacing w:after="0"/>
              <w:rPr>
                <w:sz w:val="24"/>
                <w:szCs w:val="24"/>
                <w:color w:val="auto"/>
              </w:rPr>
            </w:pPr>
          </w:p>
        </w:tc>
        <w:tc>
          <w:tcPr>
            <w:tcW w:w="51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8320" w:type="dxa"/>
            <w:vAlign w:val="bottom"/>
            <w:gridSpan w:val="12"/>
          </w:tcPr>
          <w:p>
            <w:pPr>
              <w:ind w:left="400"/>
              <w:spacing w:after="0"/>
              <w:rPr>
                <w:sz w:val="20"/>
                <w:szCs w:val="20"/>
                <w:color w:val="auto"/>
              </w:rPr>
            </w:pPr>
            <w:r>
              <w:rPr>
                <w:rFonts w:ascii="Times New Roman" w:cs="Times New Roman" w:eastAsia="Times New Roman" w:hAnsi="Times New Roman"/>
                <w:sz w:val="18"/>
                <w:szCs w:val="18"/>
                <w:color w:val="auto"/>
              </w:rPr>
              <w:t>Cash dividends declared per share for each quarter during the two most recent fiscal years were as follows: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5"/>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0.34</w:t>
            </w:r>
          </w:p>
        </w:tc>
      </w:tr>
      <w:tr>
        <w:trPr>
          <w:trHeight w:val="243"/>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Second</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0.34</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0.39</w:t>
            </w:r>
          </w:p>
        </w:tc>
      </w:tr>
      <w:tr>
        <w:trPr>
          <w:trHeight w:val="243"/>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Fourth</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0.39</w:t>
            </w:r>
          </w:p>
        </w:tc>
      </w:tr>
    </w:tbl>
    <w:p>
      <w:pPr>
        <w:spacing w:after="0" w:line="17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Our current intention is to pay dividends approximating 30%-35% of yearly earnings; however, the payment of dividends is determined by our Board of Directors (“Board”) at its discretion based on various factors, and no assurance can be provided as to future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42" w:right="239" w:bottom="1440" w:gutter="0" w:footer="0" w:header="0"/>
        </w:sectPr>
      </w:pPr>
    </w:p>
    <w:bookmarkStart w:id="21" w:name="page22"/>
    <w:bookmarkEnd w:id="21"/>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Total Return To Shareholders</w:t>
      </w:r>
      <w:r>
        <w:rPr>
          <w:rFonts w:ascii="Times New Roman" w:cs="Times New Roman" w:eastAsia="Times New Roman" w:hAnsi="Times New Roman"/>
          <w:sz w:val="25"/>
          <w:szCs w:val="25"/>
          <w:b w:val="1"/>
          <w:bCs w:val="1"/>
          <w:color w:val="auto"/>
          <w:vertAlign w:val="superscript"/>
        </w:rPr>
        <w:t>(1)</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(Includes reinvestment of dividends)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40" w:type="dxa"/>
            <w:vAlign w:val="bottom"/>
            <w:gridSpan w:val="7"/>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ANNUAL RETURN PERCENTAGE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5"/>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8"/>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354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8"/>
              </w:rPr>
              <w:t>38.06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19.95</w:t>
            </w:r>
          </w:p>
        </w:tc>
      </w:tr>
      <w:tr>
        <w:trPr>
          <w:trHeight w:val="243"/>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S&amp;P 500 Index</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8"/>
              </w:rPr>
              <w:t>15.06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13.69</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Peer Group</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8"/>
              </w:rPr>
              <w:t>15.56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7.98</w:t>
            </w:r>
          </w:p>
        </w:tc>
      </w:tr>
      <w:tr>
        <w:trPr>
          <w:trHeight w:val="475"/>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INDEXED RETURNS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5"/>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8"/>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Base Period 2009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5"/>
        </w:trPr>
        <w:tc>
          <w:tcPr>
            <w:tcW w:w="1960" w:type="dxa"/>
            <w:vAlign w:val="bottom"/>
            <w:gridSpan w:val="3"/>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International Flavors &amp;</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1"/>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138.06</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172.28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226.70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271.92</w:t>
            </w:r>
          </w:p>
        </w:tc>
      </w:tr>
      <w:tr>
        <w:trPr>
          <w:trHeight w:val="243"/>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S&amp;P 500 Index</w:t>
            </w:r>
          </w:p>
        </w:tc>
        <w:tc>
          <w:tcPr>
            <w:tcW w:w="1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115.06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205.14</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1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Peer Group</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115.56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137.16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164.36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177.48</w:t>
            </w:r>
          </w:p>
        </w:tc>
      </w:tr>
      <w:tr>
        <w:trPr>
          <w:trHeight w:val="27"/>
        </w:trPr>
        <w:tc>
          <w:tcPr>
            <w:tcW w:w="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Peer Group Companies</w:t>
            </w:r>
            <w:r>
              <w:rPr>
                <w:rFonts w:ascii="Times New Roman" w:cs="Times New Roman" w:eastAsia="Times New Roman" w:hAnsi="Times New Roman"/>
                <w:sz w:val="12"/>
                <w:szCs w:val="12"/>
                <w:b w:val="1"/>
                <w:bCs w:val="1"/>
                <w:color w:val="auto"/>
              </w:rPr>
              <w:t>(2)</w:t>
            </w:r>
          </w:p>
        </w:tc>
        <w:tc>
          <w:tcPr>
            <w:tcW w:w="486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Alberto Culver Company</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Hillshire Brands Co.</w:t>
            </w:r>
          </w:p>
        </w:tc>
        <w:tc>
          <w:tcPr>
            <w:tcW w:w="25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Unilever NV</w:t>
            </w:r>
          </w:p>
        </w:tc>
      </w:tr>
      <w:tr>
        <w:trPr>
          <w:trHeight w:val="27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Avon Products</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Hormel Foods Corp.</w:t>
            </w:r>
          </w:p>
        </w:tc>
        <w:tc>
          <w:tcPr>
            <w:tcW w:w="25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8"/>
              </w:rPr>
              <w:t>YUM Brands, Inc.</w:t>
            </w:r>
          </w:p>
        </w:tc>
      </w:tr>
      <w:tr>
        <w:trPr>
          <w:trHeight w:val="27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Campbell Soup Co.</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Kellogg Co.</w:t>
            </w:r>
          </w:p>
        </w:tc>
        <w:tc>
          <w:tcPr>
            <w:tcW w:w="2540" w:type="dxa"/>
            <w:vAlign w:val="bottom"/>
          </w:tcPr>
          <w:p>
            <w:pPr>
              <w:spacing w:after="0"/>
              <w:rPr>
                <w:sz w:val="23"/>
                <w:szCs w:val="23"/>
                <w:color w:val="auto"/>
              </w:rPr>
            </w:pPr>
          </w:p>
        </w:tc>
      </w:tr>
      <w:tr>
        <w:trPr>
          <w:trHeight w:val="27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Church &amp; Dwight Co. Inc.</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Estee Lauder Companies, Inc.</w:t>
            </w:r>
          </w:p>
        </w:tc>
        <w:tc>
          <w:tcPr>
            <w:tcW w:w="2540" w:type="dxa"/>
            <w:vAlign w:val="bottom"/>
          </w:tcPr>
          <w:p>
            <w:pPr>
              <w:spacing w:after="0"/>
              <w:rPr>
                <w:sz w:val="23"/>
                <w:szCs w:val="23"/>
                <w:color w:val="auto"/>
              </w:rPr>
            </w:pPr>
          </w:p>
        </w:tc>
      </w:tr>
      <w:tr>
        <w:trPr>
          <w:trHeight w:val="27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Clorox Company</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McCormick &amp; Company, Inc.</w:t>
            </w:r>
          </w:p>
        </w:tc>
        <w:tc>
          <w:tcPr>
            <w:tcW w:w="2540" w:type="dxa"/>
            <w:vAlign w:val="bottom"/>
          </w:tcPr>
          <w:p>
            <w:pPr>
              <w:spacing w:after="0"/>
              <w:rPr>
                <w:sz w:val="23"/>
                <w:szCs w:val="23"/>
                <w:color w:val="auto"/>
              </w:rPr>
            </w:pPr>
          </w:p>
        </w:tc>
      </w:tr>
      <w:tr>
        <w:trPr>
          <w:trHeight w:val="27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Coca-Cola Company</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McDonald’s Corp.</w:t>
            </w:r>
          </w:p>
        </w:tc>
        <w:tc>
          <w:tcPr>
            <w:tcW w:w="2540" w:type="dxa"/>
            <w:vAlign w:val="bottom"/>
          </w:tcPr>
          <w:p>
            <w:pPr>
              <w:spacing w:after="0"/>
              <w:rPr>
                <w:sz w:val="23"/>
                <w:szCs w:val="23"/>
                <w:color w:val="auto"/>
              </w:rPr>
            </w:pPr>
          </w:p>
        </w:tc>
      </w:tr>
      <w:tr>
        <w:trPr>
          <w:trHeight w:val="27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Colgate-Palmolive Co.</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Nestle SA</w:t>
            </w:r>
          </w:p>
        </w:tc>
        <w:tc>
          <w:tcPr>
            <w:tcW w:w="2540" w:type="dxa"/>
            <w:vAlign w:val="bottom"/>
          </w:tcPr>
          <w:p>
            <w:pPr>
              <w:spacing w:after="0"/>
              <w:rPr>
                <w:sz w:val="23"/>
                <w:szCs w:val="23"/>
                <w:color w:val="auto"/>
              </w:rPr>
            </w:pPr>
          </w:p>
        </w:tc>
      </w:tr>
      <w:tr>
        <w:trPr>
          <w:trHeight w:val="27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ConAgra Foods, Inc.</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Pepsico Inc.</w:t>
            </w:r>
          </w:p>
        </w:tc>
        <w:tc>
          <w:tcPr>
            <w:tcW w:w="2540" w:type="dxa"/>
            <w:vAlign w:val="bottom"/>
          </w:tcPr>
          <w:p>
            <w:pPr>
              <w:spacing w:after="0"/>
              <w:rPr>
                <w:sz w:val="23"/>
                <w:szCs w:val="23"/>
                <w:color w:val="auto"/>
              </w:rPr>
            </w:pPr>
          </w:p>
        </w:tc>
      </w:tr>
      <w:tr>
        <w:trPr>
          <w:trHeight w:val="27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Mills Inc.</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Procter &amp; Gamble Co.</w:t>
            </w:r>
          </w:p>
        </w:tc>
        <w:tc>
          <w:tcPr>
            <w:tcW w:w="2540" w:type="dxa"/>
            <w:vAlign w:val="bottom"/>
          </w:tcPr>
          <w:p>
            <w:pPr>
              <w:spacing w:after="0"/>
              <w:rPr>
                <w:sz w:val="23"/>
                <w:szCs w:val="23"/>
                <w:color w:val="auto"/>
              </w:rPr>
            </w:pPr>
          </w:p>
        </w:tc>
      </w:tr>
      <w:tr>
        <w:trPr>
          <w:trHeight w:val="27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H.J. Heinz Co.</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Revlon Inc.</w:t>
            </w:r>
          </w:p>
        </w:tc>
        <w:tc>
          <w:tcPr>
            <w:tcW w:w="2540" w:type="dxa"/>
            <w:vAlign w:val="bottom"/>
          </w:tcPr>
          <w:p>
            <w:pPr>
              <w:spacing w:after="0"/>
              <w:rPr>
                <w:sz w:val="23"/>
                <w:szCs w:val="23"/>
                <w:color w:val="auto"/>
              </w:rPr>
            </w:pPr>
          </w:p>
        </w:tc>
      </w:tr>
      <w:tr>
        <w:trPr>
          <w:trHeight w:val="27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Hershey Company</w:t>
            </w:r>
          </w:p>
        </w:tc>
        <w:tc>
          <w:tcPr>
            <w:tcW w:w="4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Sensient Technologies Corp.</w:t>
            </w:r>
          </w:p>
        </w:tc>
        <w:tc>
          <w:tcPr>
            <w:tcW w:w="2540" w:type="dxa"/>
            <w:vAlign w:val="bottom"/>
          </w:tcPr>
          <w:p>
            <w:pPr>
              <w:spacing w:after="0"/>
              <w:rPr>
                <w:sz w:val="23"/>
                <w:szCs w:val="23"/>
                <w:color w:val="auto"/>
              </w:rPr>
            </w:pPr>
          </w:p>
        </w:tc>
      </w:tr>
      <w:tr>
        <w:trPr>
          <w:trHeight w:val="702"/>
        </w:trPr>
        <w:tc>
          <w:tcPr>
            <w:tcW w:w="1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22</w:t>
            </w:r>
          </w:p>
        </w:tc>
        <w:tc>
          <w:tcPr>
            <w:tcW w:w="2540" w:type="dxa"/>
            <w:vAlign w:val="bottom"/>
          </w:tcPr>
          <w:p>
            <w:pPr>
              <w:spacing w:after="0"/>
              <w:rPr>
                <w:sz w:val="24"/>
                <w:szCs w:val="24"/>
                <w:color w:val="auto"/>
              </w:rPr>
            </w:pPr>
          </w:p>
        </w:tc>
      </w:tr>
    </w:tbl>
    <w:p>
      <w:pPr>
        <w:sectPr>
          <w:pgSz w:w="11900" w:h="16838" w:orient="portrait"/>
          <w:cols w:equalWidth="0" w:num="1">
            <w:col w:w="11420"/>
          </w:cols>
          <w:pgMar w:left="240" w:top="1117"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380365</wp:posOffset>
            </wp:positionV>
            <wp:extent cx="5265420"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420" w:right="260" w:hanging="412"/>
        <w:spacing w:after="0" w:line="250"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Shareholder Return assumes that the value of an investment in our Common Stock and each index was $100 on December 31, 2008, and that all dividends were reinvested.</w:t>
      </w:r>
    </w:p>
    <w:p>
      <w:pPr>
        <w:ind w:left="420" w:right="40" w:hanging="412"/>
        <w:spacing w:after="0" w:line="271" w:lineRule="auto"/>
        <w:tabs>
          <w:tab w:leader="none" w:pos="4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the international scope and breadth of our business, we believe that a Peer Group comprising international public companies, which are representative of the customer group to which we sell our products, is the most appropriate group against which to compare shareholder returns. Alberto Culver Company ceased trading on May 9, 2011 and has only been included through that date. In July 2012, Sara Lee Corp. spun off certain of its businesses and changed its name to Hillshire Brands Co. H.J. Heinz Co was acquired by Hawk Acquisition Holding Corp on June 7, 2013 and has only been included through that date. Hillshire Brands Co was acquired by Tyson Foods on August 28, 2014 and has only been included through that date.</w:t>
      </w:r>
    </w:p>
    <w:p>
      <w:pPr>
        <w:spacing w:after="0" w:line="1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shares of common stock we repurchased during the fourth quarter of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460" w:type="dxa"/>
            <w:vAlign w:val="bottom"/>
          </w:tcPr>
          <w:p>
            <w:pPr>
              <w:spacing w:after="0"/>
              <w:rPr>
                <w:sz w:val="13"/>
                <w:szCs w:val="13"/>
                <w:color w:val="auto"/>
              </w:rPr>
            </w:pPr>
          </w:p>
        </w:tc>
        <w:tc>
          <w:tcPr>
            <w:tcW w:w="19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20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60" w:type="dxa"/>
            <w:vAlign w:val="bottom"/>
          </w:tcPr>
          <w:p>
            <w:pPr>
              <w:spacing w:after="0"/>
              <w:rPr>
                <w:sz w:val="12"/>
                <w:szCs w:val="12"/>
                <w:color w:val="auto"/>
              </w:rPr>
            </w:pPr>
          </w:p>
        </w:tc>
        <w:tc>
          <w:tcPr>
            <w:tcW w:w="19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 the</w:t>
            </w:r>
          </w:p>
        </w:tc>
        <w:tc>
          <w:tcPr>
            <w:tcW w:w="0" w:type="dxa"/>
            <w:vAlign w:val="bottom"/>
          </w:tcPr>
          <w:p>
            <w:pPr>
              <w:spacing w:after="0"/>
              <w:rPr>
                <w:sz w:val="1"/>
                <w:szCs w:val="1"/>
                <w:color w:val="auto"/>
              </w:rPr>
            </w:pPr>
          </w:p>
        </w:tc>
      </w:tr>
      <w:tr>
        <w:trPr>
          <w:trHeight w:val="195"/>
        </w:trPr>
        <w:tc>
          <w:tcPr>
            <w:tcW w:w="1960" w:type="dxa"/>
            <w:vAlign w:val="bottom"/>
            <w:vMerge w:val="continue"/>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xml:space="preserve">Repurchased </w:t>
            </w:r>
            <w:r>
              <w:rPr>
                <w:rFonts w:ascii="Times New Roman" w:cs="Times New Roman" w:eastAsia="Times New Roman" w:hAnsi="Times New Roman"/>
                <w:sz w:val="12"/>
                <w:szCs w:val="12"/>
                <w:b w:val="1"/>
                <w:bCs w:val="1"/>
                <w:color w:val="auto"/>
              </w:rPr>
              <w:t>(1)</w:t>
            </w:r>
          </w:p>
        </w:tc>
        <w:tc>
          <w:tcPr>
            <w:tcW w:w="460" w:type="dxa"/>
            <w:vAlign w:val="bottom"/>
          </w:tcPr>
          <w:p>
            <w:pPr>
              <w:spacing w:after="0"/>
              <w:rPr>
                <w:sz w:val="16"/>
                <w:szCs w:val="16"/>
                <w:color w:val="auto"/>
              </w:rPr>
            </w:pPr>
          </w:p>
        </w:tc>
        <w:tc>
          <w:tcPr>
            <w:tcW w:w="19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49"/>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1 - 31, 2014</w:t>
            </w:r>
          </w:p>
        </w:tc>
        <w:tc>
          <w:tcPr>
            <w:tcW w:w="22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170,968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170,968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129,431,594</w:t>
            </w:r>
          </w:p>
        </w:tc>
        <w:tc>
          <w:tcPr>
            <w:tcW w:w="0" w:type="dxa"/>
            <w:vAlign w:val="bottom"/>
          </w:tcPr>
          <w:p>
            <w:pPr>
              <w:spacing w:after="0"/>
              <w:rPr>
                <w:sz w:val="1"/>
                <w:szCs w:val="1"/>
                <w:color w:val="auto"/>
              </w:rPr>
            </w:pPr>
          </w:p>
        </w:tc>
      </w:tr>
      <w:tr>
        <w:trPr>
          <w:trHeight w:val="26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1 - 30, 2014</w:t>
            </w:r>
          </w:p>
        </w:tc>
        <w:tc>
          <w:tcPr>
            <w:tcW w:w="22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108,310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98.11</w:t>
            </w:r>
          </w:p>
        </w:tc>
        <w:tc>
          <w:tcPr>
            <w:tcW w:w="100" w:type="dxa"/>
            <w:vAlign w:val="bottom"/>
          </w:tcPr>
          <w:p>
            <w:pPr>
              <w:spacing w:after="0"/>
              <w:rPr>
                <w:sz w:val="22"/>
                <w:szCs w:val="22"/>
                <w:color w:val="auto"/>
              </w:rPr>
            </w:pPr>
          </w:p>
        </w:tc>
        <w:tc>
          <w:tcPr>
            <w:tcW w:w="226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108,310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118,805,466</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1 - 31, 2014</w:t>
            </w:r>
          </w:p>
        </w:tc>
        <w:tc>
          <w:tcPr>
            <w:tcW w:w="2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97,222</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101.54</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97,222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108,933,649</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376,500</w:t>
            </w: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98.24</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376,500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108,933,649</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right="1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repurchased pursuant to the repurchase program announced in December 2012, with repurchases beginning in the first quarter of 2013. Repurchases under the program are limited to $250 million in total repurchase price, and the expiration date is December 31, 2016. Authorization of the repurchase program may be modified, suspended, or discontinued at any time.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440" w:right="239" w:bottom="1440" w:gutter="0" w:footer="0" w:header="0"/>
        </w:sectPr>
      </w:pPr>
    </w:p>
    <w:bookmarkStart w:id="23" w:name="page24"/>
    <w:bookmarkEnd w:id="23"/>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p>
      <w:pPr>
        <w:spacing w:after="0" w:line="151"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selected consolidated financial data is derived from our Consolidated Financial Statements. This data should be read in conjunction with the Consolidated Financial Statements and Notes thereto, and with Item 7, Management’s Discussion and Analysis of Financial Condition and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11"/>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w:t>
            </w:r>
            <w:r>
              <w:rPr>
                <w:rFonts w:ascii="Times New Roman" w:cs="Times New Roman" w:eastAsia="Times New Roman" w:hAnsi="Times New Roman"/>
                <w:sz w:val="8"/>
                <w:szCs w:val="8"/>
                <w:b w:val="1"/>
                <w:bCs w:val="1"/>
                <w:color w:val="auto"/>
              </w:rPr>
              <w:t>(c)</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59"/>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Profit</w:t>
            </w:r>
            <w:r>
              <w:rPr>
                <w:rFonts w:ascii="Times New Roman" w:cs="Times New Roman" w:eastAsia="Times New Roman" w:hAnsi="Times New Roman"/>
                <w:sz w:val="8"/>
                <w:szCs w:val="8"/>
                <w:b w:val="1"/>
                <w:bCs w:val="1"/>
                <w:color w:val="auto"/>
              </w:rPr>
              <w:t>(a)</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Income</w:t>
            </w:r>
            <w:r>
              <w:rPr>
                <w:rFonts w:ascii="Times New Roman" w:cs="Times New Roman" w:eastAsia="Times New Roman" w:hAnsi="Times New Roman"/>
                <w:sz w:val="8"/>
                <w:szCs w:val="8"/>
                <w:b w:val="1"/>
                <w:bCs w:val="1"/>
                <w:color w:val="auto"/>
              </w:rPr>
              <w:t>(b)</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80" w:type="dxa"/>
            <w:vAlign w:val="bottom"/>
          </w:tcPr>
          <w:p>
            <w:pPr>
              <w:spacing w:after="0"/>
              <w:rPr>
                <w:sz w:val="22"/>
                <w:szCs w:val="22"/>
                <w:color w:val="auto"/>
              </w:rPr>
            </w:pPr>
          </w:p>
        </w:tc>
      </w:tr>
      <w:tr>
        <w:trPr>
          <w:trHeight w:val="228"/>
        </w:trPr>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900" w:type="dxa"/>
            <w:vAlign w:val="bottom"/>
            <w:tcBorders>
              <w:top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2"/>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44"/>
        </w:trPr>
        <w:tc>
          <w:tcPr>
            <w:tcW w:w="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770,224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727,836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341,412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311,360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106,707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90,697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w:t>
            </w:r>
          </w:p>
        </w:tc>
        <w:tc>
          <w:tcPr>
            <w:tcW w:w="9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  1.11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Second</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788,414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757,635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352,647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333,986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110,285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102,322</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9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773,813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742,256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340,111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325,404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107,415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99,046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9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w:t>
            </w:r>
          </w:p>
        </w:tc>
      </w:tr>
      <w:tr>
        <w:trPr>
          <w:trHeight w:val="254"/>
        </w:trPr>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Fourth</w:t>
            </w:r>
            <w:r>
              <w:rPr>
                <w:rFonts w:ascii="Times New Roman" w:cs="Times New Roman" w:eastAsia="Times New Roman" w:hAnsi="Times New Roman"/>
                <w:sz w:val="18"/>
                <w:szCs w:val="18"/>
                <w:b w:val="1"/>
                <w:bCs w:val="1"/>
                <w:color w:val="auto"/>
                <w:vertAlign w:val="superscript"/>
              </w:rPr>
              <w:t>(d)</w:t>
            </w:r>
          </w:p>
        </w:tc>
        <w:tc>
          <w:tcPr>
            <w:tcW w:w="28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756,082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725,169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327,980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313,455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90,136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61,479</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9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8" w:lineRule="exact"/>
        <w:rPr>
          <w:sz w:val="20"/>
          <w:szCs w:val="20"/>
          <w:color w:val="auto"/>
        </w:rPr>
      </w:pPr>
    </w:p>
    <w:p>
      <w:pPr>
        <w:ind w:left="1160" w:hanging="315"/>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3,088,533   $   2,952,896   $  1,362,150   $  1,284,205   $414,543   $353,544   $  5.09   $  4.32   $  5.06   $  4.29</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-127635</wp:posOffset>
            </wp:positionV>
            <wp:extent cx="6732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 w:lineRule="exact"/>
        <w:rPr>
          <w:sz w:val="20"/>
          <w:szCs w:val="20"/>
          <w:color w:val="auto"/>
        </w:rPr>
      </w:pPr>
    </w:p>
    <w:p>
      <w:pPr>
        <w:ind w:left="420" w:right="160" w:hanging="412"/>
        <w:spacing w:after="0" w:line="253"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Q1-2014 includes $2.2 million of non-cash charges related to accelerated depreciation associated with the Fragrance Ingredients Rationalization and $0.4 million of operational improvement initiative costs associated with a plant closing, partial closings, and other organizational realignments, principally in Europe and Asia. Q2-2014 includes $2.9 million of non-cash charges related to accelerated depreciation and $0.3 million related to operational improvement initiative costs. Q3-2014 includes $0.3 million of operational improvement initiative costs. Q4-2014 includes $1.6 million of operational improvement initiative costs.</w:t>
      </w:r>
    </w:p>
    <w:p>
      <w:pPr>
        <w:spacing w:after="0" w:line="187" w:lineRule="exact"/>
        <w:rPr>
          <w:rFonts w:ascii="Times New Roman" w:cs="Times New Roman" w:eastAsia="Times New Roman" w:hAnsi="Times New Roman"/>
          <w:sz w:val="18"/>
          <w:szCs w:val="18"/>
          <w:color w:val="auto"/>
        </w:rPr>
      </w:pPr>
    </w:p>
    <w:p>
      <w:pPr>
        <w:ind w:left="42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Q1-2013 includes $1.2 million of operational improvement initiative costs associated with the plant closings in Europe and partial closing in Asia. Q2-2013 includes $0.8 million of restructuring-related costs associated with the Fragrance Ingredients Rationalization and $0.2 million of operational improvement initiative costs associated with the plant closings in Europe and Asia. Q3-2013 includes $2.2 million of restructuring-related costs associated with the Fragrance Ingredients Rationalization and $0.4 million of operational improvement initiative costs associated with the plant closings in Europe and Asia. Q4-2013 includes $2.3 million of restructuring-related costs associated with the Fragrance Ingredients Rationalization and $1.8 million of operational improvement initiative costs associated with the plant closings in Europe and several locations in Asia.</w:t>
      </w:r>
    </w:p>
    <w:p>
      <w:pPr>
        <w:spacing w:after="0" w:line="187" w:lineRule="exact"/>
        <w:rPr>
          <w:rFonts w:ascii="Times New Roman" w:cs="Times New Roman" w:eastAsia="Times New Roman" w:hAnsi="Times New Roman"/>
          <w:sz w:val="18"/>
          <w:szCs w:val="18"/>
          <w:color w:val="auto"/>
        </w:rPr>
      </w:pPr>
    </w:p>
    <w:p>
      <w:pPr>
        <w:ind w:left="420" w:right="20" w:hanging="412"/>
        <w:spacing w:after="0" w:line="274" w:lineRule="auto"/>
        <w:tabs>
          <w:tab w:leader="none" w:pos="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Q1-2014 includes $1.5 million of restructuring-related costs associated with the Fragrance Ingredients Rationalization, net of tax, and $0.3 million, net of tax, of operational improvement initiative costs as discussed above. Q2-2014 includes $2.0 million, net of tax, of restructuring-related costs and $0.2 million, net of tax, of operational improvement initiative costs. Q3-2014 includes $0.4 million, net of tax, of restructuring-related costs and $0.2 million, net of tax, of operational improvement initiative costs. Q4-2014 includes $0.3 million, net of tax, of restructuring-related costs, $1.2 million, net of tax, of operational improvement initiative costs, a $3.8 million tax benefit associated with the favorable ruling of the 2011 Spanish dividend withholding case (as discussed in Note 9 of the Consolidated Financial Statements) and a $0.5 million net gain related to the sale of a non-operating asset.</w:t>
      </w:r>
    </w:p>
    <w:p>
      <w:pPr>
        <w:spacing w:after="0" w:line="173" w:lineRule="exact"/>
        <w:rPr>
          <w:rFonts w:ascii="Times New Roman" w:cs="Times New Roman" w:eastAsia="Times New Roman" w:hAnsi="Times New Roman"/>
          <w:sz w:val="17"/>
          <w:szCs w:val="17"/>
          <w:color w:val="auto"/>
        </w:rPr>
      </w:pPr>
    </w:p>
    <w:p>
      <w:pPr>
        <w:ind w:left="42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Q1-2013 includes a $6.2 million Spanish tax charge related to the 2002-2003 ruling and $0.9 million of operational improvement initiative costs, net of tax, associated with the plant closings in Europe and Asia. Q2-2013 includes $1.9 million of restructuring-related costs, net of tax, associated with the Fragrance Ingredients Rationalization, $0.1 million of operational improvement initiative costs, net of tax, associated with the plant closings in Europe and Asia, and a $10.5 million net gain related to the sale of a non-operating asset. Q3-2013 includes $1.4 million of restructuring-related costs, net of tax, associated with the Fragrance Ingredients Rationalization and $0.3 million of operational improvement initiative costs, net of tax, associated with the plant closings in Europe and Asia as discussed above. Q4-2013 includes $1.5 million, net of tax, associated with the Fragrance Ingredients Rationalization, $1.4 million of operational improvement initiative costs, net of tax, associated with the plant closings in Europe and several locations in Asia, a $9.1 million charge related to the Spanish capital tax case, net of tax, and a $1.9 million loss related to the sale of a non-operating asset.</w:t>
      </w:r>
    </w:p>
    <w:p>
      <w:pPr>
        <w:spacing w:after="0" w:line="185" w:lineRule="exact"/>
        <w:rPr>
          <w:rFonts w:ascii="Times New Roman" w:cs="Times New Roman" w:eastAsia="Times New Roman" w:hAnsi="Times New Roman"/>
          <w:sz w:val="17"/>
          <w:szCs w:val="17"/>
          <w:color w:val="auto"/>
        </w:rPr>
      </w:pPr>
    </w:p>
    <w:p>
      <w:pPr>
        <w:ind w:left="420" w:right="220" w:hanging="412"/>
        <w:spacing w:after="0" w:line="282"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Q1-2014 and Q2-2014 both include $0.02 per diluted share related to restructuring-related charges. Q3-2014 includes $0.1 per diluted share related to restructuring-related charges. Q4-2014 includes $0.01 per diluted share related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38" w:right="239" w:bottom="1440" w:gutter="0" w:footer="0" w:header="0"/>
        </w:sectPr>
      </w:pPr>
    </w:p>
    <w:bookmarkStart w:id="24" w:name="page25"/>
    <w:bookmarkEnd w:id="24"/>
    <w:p>
      <w:pPr>
        <w:ind w:left="412" w:right="160"/>
        <w:spacing w:after="0" w:line="329" w:lineRule="auto"/>
        <w:rPr>
          <w:sz w:val="20"/>
          <w:szCs w:val="20"/>
          <w:color w:val="auto"/>
        </w:rPr>
      </w:pPr>
      <w:r>
        <w:rPr>
          <w:rFonts w:ascii="Times New Roman" w:cs="Times New Roman" w:eastAsia="Times New Roman" w:hAnsi="Times New Roman"/>
          <w:sz w:val="18"/>
          <w:szCs w:val="18"/>
          <w:color w:val="auto"/>
        </w:rPr>
        <w:t>operational improvement initiative costs and a loss of $0.05 per diluted share related to the favorable ruling of the 2001 Spanish dividend withholding case.</w:t>
      </w:r>
    </w:p>
    <w:p>
      <w:pPr>
        <w:spacing w:after="0" w:line="135" w:lineRule="exact"/>
        <w:rPr>
          <w:sz w:val="20"/>
          <w:szCs w:val="20"/>
          <w:color w:val="auto"/>
        </w:rPr>
      </w:pPr>
    </w:p>
    <w:p>
      <w:pPr>
        <w:ind w:left="412" w:firstLine="648"/>
        <w:spacing w:after="0" w:line="258" w:lineRule="auto"/>
        <w:rPr>
          <w:sz w:val="20"/>
          <w:szCs w:val="20"/>
          <w:color w:val="auto"/>
        </w:rPr>
      </w:pPr>
      <w:r>
        <w:rPr>
          <w:rFonts w:ascii="Times New Roman" w:cs="Times New Roman" w:eastAsia="Times New Roman" w:hAnsi="Times New Roman"/>
          <w:sz w:val="18"/>
          <w:szCs w:val="18"/>
          <w:color w:val="auto"/>
        </w:rPr>
        <w:t>Q1-2013 includes tax charges of $0.08 per diluted share related to the 2002-2003 ruling and $0.01 per diluted share related to operational improvement initiative costs. Q2-2013 includes a gain of $0.13 per diluted share related to the sale of a non-operating asset and restructuring charges of $0.02 per diluted share. Q3-2013 includes restructuring charges of $0.02 per diluted share. Q4-2013 includes charges of $0.11 per diluted share related to the Spanish capital tax case, restructuring charges of $0.02 per diluted share, operational improvement initiative costs of $0.02 per diluted share and a loss of $0.02 per diluted share related to the sale of a non-operating asset.</w:t>
      </w:r>
    </w:p>
    <w:p>
      <w:pPr>
        <w:spacing w:after="0" w:line="184" w:lineRule="exact"/>
        <w:rPr>
          <w:sz w:val="20"/>
          <w:szCs w:val="20"/>
          <w:color w:val="auto"/>
        </w:rPr>
      </w:pPr>
    </w:p>
    <w:p>
      <w:pPr>
        <w:ind w:left="412" w:right="100" w:hanging="412"/>
        <w:spacing w:after="0" w:line="282" w:lineRule="auto"/>
        <w:tabs>
          <w:tab w:leader="none" w:pos="4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Q4-2014 includes the impact of an extra week in 2014 (as discussed in Note 1 of the Consolidated Financial Statements). This impact was not material to our results of operations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72"/>
          </w:cols>
          <w:pgMar w:left="248" w:top="607" w:right="2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FIVE-YEAR SUMMARY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82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DOLLARS IN THOUSANDS EXCEPT PER SHARE AMOUNTS</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5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Income Data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3,088,533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2,952,896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2,821,446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2,788,018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2,622,862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goods sold</w:t>
            </w:r>
            <w:r>
              <w:rPr>
                <w:rFonts w:ascii="Times New Roman" w:cs="Times New Roman" w:eastAsia="Times New Roman" w:hAnsi="Times New Roman"/>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1,726,383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1,668,691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1,645,912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1,683,362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1,530,260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1,362,150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1,284,205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1,175,534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1,104,656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1,092,602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253,640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218,772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Selling and administrative expenses</w:t>
            </w:r>
            <w:r>
              <w:rPr>
                <w:rFonts w:ascii="Times New Roman" w:cs="Times New Roman" w:eastAsia="Times New Roman" w:hAnsi="Times New Roman"/>
                <w:sz w:val="25"/>
                <w:szCs w:val="25"/>
                <w:color w:val="auto"/>
                <w:vertAlign w:val="superscript"/>
              </w:rPr>
              <w:t>(b)</w:t>
            </w:r>
          </w:p>
        </w:tc>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514,891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505,877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453,535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443,974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447,392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Restructuring and other charges, net</w:t>
            </w:r>
            <w:r>
              <w:rPr>
                <w:rFonts w:ascii="Times New Roman" w:cs="Times New Roman" w:eastAsia="Times New Roman" w:hAnsi="Times New Roman"/>
                <w:sz w:val="25"/>
                <w:szCs w:val="25"/>
                <w:color w:val="auto"/>
                <w:vertAlign w:val="superscript"/>
              </w:rPr>
              <w:t>(c)</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13,172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592,321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516,339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486,618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427,729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416,361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46,067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48,709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5"/>
                <w:szCs w:val="25"/>
                <w:color w:val="auto"/>
                <w:vertAlign w:val="superscript"/>
              </w:rPr>
              <w:t>(d)</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549,061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485,210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359,593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Taxes on income</w:t>
            </w:r>
            <w:r>
              <w:rPr>
                <w:rFonts w:ascii="Times New Roman" w:cs="Times New Roman" w:eastAsia="Times New Roman" w:hAnsi="Times New Roman"/>
                <w:sz w:val="25"/>
                <w:szCs w:val="25"/>
                <w:color w:val="auto"/>
                <w:vertAlign w:val="superscript"/>
              </w:rPr>
              <w:t>(e)</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134,518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131,666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189,281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106,680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96,036</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414,543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353,544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254,134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266,866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Percentage of net sales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Percentage of average shareholders’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number of diluted shares (thousands)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81,494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478,573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405,505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324,422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88,279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493,768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472,346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451,804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568,729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533,806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540,658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544,439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531,675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720,268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687,215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654,641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538,118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752,041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696,197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702,270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708,345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714,416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3,494,621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3,331,731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3,246,192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2,965,581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2,872,455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borrowings, overdrafts and current</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portion of long-term debt</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116,688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934,232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932,665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881,104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778,248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787,668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Total Shareholders’ equity</w:t>
            </w:r>
            <w:r>
              <w:rPr>
                <w:rFonts w:ascii="Times New Roman" w:cs="Times New Roman" w:eastAsia="Times New Roman" w:hAnsi="Times New Roman"/>
                <w:sz w:val="25"/>
                <w:szCs w:val="25"/>
                <w:color w:val="auto"/>
                <w:vertAlign w:val="superscript"/>
              </w:rPr>
              <w:t>(f)</w:t>
            </w:r>
          </w:p>
        </w:tc>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1,522,689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1,467,051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1,252,555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1,107,407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1,003,155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Current ratio</w:t>
            </w:r>
            <w:r>
              <w:rPr>
                <w:rFonts w:ascii="Times New Roman" w:cs="Times New Roman" w:eastAsia="Times New Roman" w:hAnsi="Times New Roman"/>
                <w:sz w:val="25"/>
                <w:szCs w:val="25"/>
                <w:color w:val="auto"/>
                <w:vertAlign w:val="superscript"/>
              </w:rPr>
              <w:t>(g)</w:t>
            </w:r>
          </w:p>
        </w:tc>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143,182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106,301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76,667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shareholders of record at year-end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employees at year-end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20" w:right="60" w:hanging="412"/>
        <w:spacing w:after="0" w:line="254"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2014 amount includes $7,641 ($5,221 after tax) of accelerated depreciation associated with the Fragrance Ingredients rationalization and operational improvement initiative costs in Europe and Asia. The 2013 amount includes $8,770 ($6,084 after tax) of accelerated depreciation associated with the Fragrance Ingredients rationalization and several locations in Asia.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38" w:right="239" w:bottom="1440" w:gutter="0" w:footer="0" w:header="0"/>
        </w:sectPr>
      </w:pPr>
    </w:p>
    <w:bookmarkStart w:id="26" w:name="page27"/>
    <w:bookmarkEnd w:id="26"/>
    <w:p>
      <w:pPr>
        <w:ind w:left="420" w:right="40" w:hanging="412"/>
        <w:spacing w:after="0" w:line="261"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amount includes $13,011 ($9,108 after tax) of expense associated with the Spanish capital tax case and $33,495 ($29,846 after tax) in 2011 of costs associated with the Mane patent litigation settlement.</w:t>
      </w:r>
    </w:p>
    <w:p>
      <w:pPr>
        <w:ind w:left="420" w:right="220" w:hanging="412"/>
        <w:spacing w:after="0" w:line="250"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charges ($844 after tax) in 2014, ($1,398 after tax) in 2013, ($1,047 after tax) in 2012, ($9,444 after tax) in 2011 and ($8,928 after tax) in 2010 were the result of various restructuring and reorganization programs of the Company.</w:t>
      </w:r>
    </w:p>
    <w:p>
      <w:pPr>
        <w:ind w:left="420" w:right="580" w:hanging="412"/>
        <w:spacing w:after="0" w:line="250"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2014 amount includes $723 ($470 after tax) and the 2013 amount includes $14,155 ($8,522 after tax) of net gains related to the sale of non-operating assets.</w:t>
      </w:r>
    </w:p>
    <w:p>
      <w:pPr>
        <w:ind w:left="420" w:hanging="412"/>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2012 amount includes after tax charges of $72,362 related to the overall Spanish tax settlement.</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noncontrolling interest for all periods presented.</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ratio is equal to current assets divided by current liabilities.</w:t>
      </w:r>
    </w:p>
    <w:p>
      <w:pPr>
        <w:spacing w:after="0" w:line="36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(UNLESS INDICATED OTHERWISE, DOLLARS IN MILLIONS EXCEPT PER SHARE AMOUNTS)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We create, manufacture and supply flavors and fragrances for the food, beverage, personal care and household-products industries either in the form of compounds or individual ingredients. Our flavors and fragrance compounds combine a large number of ingredients that are blended, mixed or reacted together to produce proprietary formulas created by our perfumers and flavorists.</w:t>
      </w:r>
    </w:p>
    <w:p>
      <w:pPr>
        <w:spacing w:after="0" w:line="122"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Flavors are the key building blocks that impart taste in processed food and beverage products and, as such, play a significant role in determining consumer preference of the end products in which they are used. While we are a global leader, our flavors business is more regional in nature, with different formulas that reflect local tastes and ingredients. As a leading creator of flavors, we help our customers deliver on the promise of delicious and healthy foods and drinks that appeal to consumers. Our flavors compounds are ultimately used by our customers in four end-use categories: (1) Savory, (2) Beverages, (3) Sweet, pharmaceutical and oral care (“Sweet”), and (4) Dairy.</w:t>
      </w:r>
    </w:p>
    <w:p>
      <w:pPr>
        <w:spacing w:after="0" w:line="130"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Our fragrances are a key component in the world’s finest perfumes and best-known consumer brands, including beauty care, fabric care, personal wash and home care products. In 2014, we announced that we realigned our creative and commercial teams within our Fragrance Compounds activities resulting in two newly-defined broad market categories, (1) Fine Fragrances and (2) Consumer Fragrances. Consumer Fragrances consists of five end-use categories:</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Fabric Care, Home Care, Personal Wash, Hair Care and Toiletries. Prior to the realignment, our Fragrance Compounds activities consisted of two broad categories (1) Fine Fragrance and Beauty Care and (2) Functional Fragrances. In addition, Fragrance Ingredients, which are used internally and sold to third parties, including customers and competitors, for use in preparation of compounds, are also included in the Fragrances business unit.</w:t>
      </w:r>
    </w:p>
    <w:p>
      <w:pPr>
        <w:spacing w:after="0" w:line="13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flavors and fragrances market is part of a larger market which supplies a variety of ingredients and components that consumer products companies utilize in their products. The broader market includes large multinational companies or smaller regional and local participants which supply products such as seasonings, texturizers, spices, enzymes, certain food related commodities, fortified products and cosmetic ingredients. The flavors and fragrances market is estimated to be at least $18 billion; however the exact size of the global market is not available due to fragmentation of data. We, together with the other top three companies are estimated to comprise approximately two-thirds of the total estimated sales in the global flavors and fragrances sub-segment of the broader market.</w:t>
      </w:r>
    </w:p>
    <w:p>
      <w:pPr>
        <w:spacing w:after="0" w:line="13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Development of new flavors and fragrance compounds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in partnership with our scientists and researchers to optimize the consumer appeal of the flavor or fragrance. It then becomes a collaborative process between our researchers, our product development team and our customers to perfect the flavor or fragrance so that it is ready to be included in the final consumer product.</w:t>
      </w:r>
    </w:p>
    <w:p>
      <w:pPr>
        <w:spacing w:after="0" w:line="13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Our 25 largest customers accounted for 53% of total sales in 2014; this percentage has remained fairly constant for several years. A key factor for commercial success is inclusion on our strategic customers’ core supplier lists, which provides opportunities to win new business. We are on the core supplier lists of a large majority of our global and strategic customers within Fragrances and Flavors.</w:t>
      </w:r>
    </w:p>
    <w:p>
      <w:pPr>
        <w:spacing w:after="0" w:line="122"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Sales in 2014 grew 5% both on a reported basis and in local currency (LC) terms, with the acquisition of Aromor adding approximately 1% to both reported and local currency basis amounts. Flavors achieved LC growth of 4% and Fragrances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580" w:right="279" w:bottom="1440" w:gutter="0" w:footer="0" w:header="0"/>
        </w:sectPr>
      </w:pPr>
    </w:p>
    <w:bookmarkStart w:id="27" w:name="page28"/>
    <w:bookmarkEnd w:id="27"/>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achieved LC growth of 7% in 2014. The LC growth reflects new win performance (net of losses) in both Flavors and Fragrance Compounds partially offset by volume erosion on existing business. In addition, Fragrance Ingredients sales were up 18% driven largely by the Aromor acquisition. Overall, our 2014 results continued to be driven by our strong emerging market presence that represented 50% of total sales and experienced 6% LC growth in 2014. From a geographic perspective, all regions delivered LC growth on a consolidated basis in 2014; led by Latin America (LA) with 7% LC sales growth.</w:t>
      </w:r>
    </w:p>
    <w:p>
      <w:pPr>
        <w:spacing w:after="0" w:line="45" w:lineRule="exact"/>
        <w:rPr>
          <w:sz w:val="20"/>
          <w:szCs w:val="20"/>
          <w:color w:val="auto"/>
        </w:rPr>
      </w:pPr>
    </w:p>
    <w:p>
      <w:pPr>
        <w:ind w:right="680" w:firstLine="432"/>
        <w:spacing w:after="0" w:line="282" w:lineRule="auto"/>
        <w:rPr>
          <w:sz w:val="20"/>
          <w:szCs w:val="20"/>
          <w:color w:val="auto"/>
        </w:rPr>
      </w:pPr>
      <w:r>
        <w:rPr>
          <w:rFonts w:ascii="Times New Roman" w:cs="Times New Roman" w:eastAsia="Times New Roman" w:hAnsi="Times New Roman"/>
          <w:sz w:val="18"/>
          <w:szCs w:val="18"/>
          <w:color w:val="auto"/>
        </w:rPr>
        <w:t>The year 2014 included an extra week of activity, due to the timing of our fiscal year-end (as discussed in Note 1 of the Consolidated Financial Statements). The impact of this week was not material to our results of operations for the year ended December 31, 2014.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Sales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121285</wp:posOffset>
            </wp:positionV>
            <wp:extent cx="5257165" cy="254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Sales by Destination</w:t>
            </w: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3"/>
                <w:szCs w:val="13"/>
                <w:color w:val="auto"/>
              </w:rPr>
            </w:pP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3"/>
                <w:szCs w:val="13"/>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0"/>
        </w:trPr>
        <w:tc>
          <w:tcPr>
            <w:tcW w:w="3900" w:type="dxa"/>
            <w:vAlign w:val="bottom"/>
            <w:gridSpan w:val="4"/>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380"/>
              <w:spacing w:after="0" w:line="160" w:lineRule="exact"/>
              <w:rPr>
                <w:sz w:val="20"/>
                <w:szCs w:val="20"/>
                <w:color w:val="auto"/>
              </w:rPr>
            </w:pPr>
            <w:r>
              <w:rPr>
                <w:rFonts w:ascii="Times New Roman" w:cs="Times New Roman" w:eastAsia="Times New Roman" w:hAnsi="Times New Roman"/>
                <w:sz w:val="14"/>
                <w:szCs w:val="14"/>
                <w:b w:val="1"/>
                <w:bCs w:val="1"/>
                <w:color w:val="auto"/>
              </w:rPr>
              <w:t>of sales</w:t>
            </w: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of sales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08"/>
              <w:spacing w:after="0" w:line="160" w:lineRule="exact"/>
              <w:rPr>
                <w:sz w:val="20"/>
                <w:szCs w:val="20"/>
                <w:color w:val="auto"/>
              </w:rPr>
            </w:pPr>
            <w:r>
              <w:rPr>
                <w:rFonts w:ascii="Times New Roman" w:cs="Times New Roman" w:eastAsia="Times New Roman" w:hAnsi="Times New Roman"/>
                <w:sz w:val="14"/>
                <w:szCs w:val="14"/>
                <w:b w:val="1"/>
                <w:bCs w:val="1"/>
                <w:color w:val="auto"/>
              </w:rPr>
              <w:t>of sales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Africa and Middle East (EAME)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972</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Greater Asia (GA)</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823</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 (NOAM)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681</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Latin America (LA)</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477</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Sales by End-Use Product Category</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 Compounds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Consumer Fragrances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Fine Fragrances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Fragrance Ingredients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PERFORMANCE OVERVIEW</w:t>
      </w:r>
    </w:p>
    <w:p>
      <w:pPr>
        <w:spacing w:after="0" w:line="92"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Reported sales for 2014 increased 5% year-over-year (including approximately 1% growth from the acquisition of Aromor). We continue to benefit from our diverse portfolio of end-use product categories and geographies and had growth in all four regions and in Consumer Fragrances, Fragrance Ingredients and Flavor Compounds. Both Flavors and Fragrances benefited from new win performance (net of losses) that was partially offset by volume erosion on existing business. Exchange rate variations were flat in year-over-year sales. The effect of exchange rates can vary by business and region depending upon the mix of sales by country as well as the relative percentage of local sales priced in U.S. dollars versus local currencies. LC sales growth of 5% in 2014 was consistent with our long-term strategic target of 4%-6% LC growth. We saw good LC sales growth during each quarter of 2014, despite the impact of volume erosion on existing business. Regarding our 2015 outlook,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42" w:right="239" w:bottom="1440" w:gutter="0" w:footer="0" w:header="0"/>
        </w:sectPr>
      </w:pPr>
    </w:p>
    <w:bookmarkStart w:id="28" w:name="page29"/>
    <w:bookmarkEnd w:id="28"/>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LC sales growth will be in line with our long-term targets, while operating profit growth is expected to be at the low end of the range, in light of a stronger U.S. dollar versus most currencies and higher incentive compensation expense. In addition, we believe EPS growth will be high single-digits, driven by operating profit growth.</w:t>
      </w:r>
    </w:p>
    <w:p>
      <w:pPr>
        <w:spacing w:after="0" w:line="122"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On a long-term basis we expect that sales growth for the industry will generally be in line with the underlying assumptions that support our long-term strategic goals, albeit with some risk in the near term given the continuing global economic uncertainty. We believe changing social habits resulting from increased disposable income, improved focus on personal health and wellness awareness should help drive growth of our consumer product customers’ businesses.</w:t>
      </w:r>
    </w:p>
    <w:p>
      <w:pPr>
        <w:spacing w:after="0" w:line="12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Gross margins increased 60 basis points (bps) year-over-year, due to solid sales growth, and benefits from cost and productivity initiatives, that more than offset the slightly unfavorable price versus input cost dynamic during 2014. However, the overall raw material cost base remains elevated, including certain categories where prices remain near all time highs. We believe input costs will increase approximately 1% in 2015 as higher prices on certain categories, such as naturals, will more than offset potential benefits associated with oil-based derivatives that are expected to occur later in 2015. We continue to seek improvements in our margins through operational performance and mix enhancement.</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Operating profit increased $76.0 million to $592.3 million (19.2% of sales) in 2014 compared to $516.3 million (17.5% of sales) in 2013. Included in</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2014 were operational improvement initiative costs of $2.5 million, Restructuring and other charges, net of $1.3 million and $5.1 million of accelerated depreciation included in Cost of goods sold related to the Fragrance Ingredients Rationalization and several locations in Asia. Excluding these charges, adjusted operating profit was $601.3 million (19.5% of sales) for 2014. Included in 2013 were operational improvement initiative costs of $3.7 million primarily related to closing a smaller facility in Europe and certain manufacturing activities in Asia while transferring production to larger facilities in each respective region and accelerated depreciation associated with several locations in Asia, as well as restructuring costs of $7.4 million related to the Fragrance Ingredients Rationalization. In addition, 2013 included a $13.0 million charge related to the Spanish capital tax case. Excluding these charges, adjusted operating profit was $540.4 million (18.3% of sales) for 2013. The year-over-year improvement reflects sales volume growth combined with reduced R&amp;D, selling and administrative expenses as a percentages of sales, all of which were driven largely by favorable year-over-year incentive compensation expenses. The results of Aromor were not significant to the consolidated financial performance of the Company for 2014.</w:t>
      </w:r>
    </w:p>
    <w:p>
      <w:pPr>
        <w:spacing w:after="0" w:line="14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Although we are in the process of refreshing the key elements of our strategic priorities, we continued to execute against the core elements of the strategic priorities identified during our in depth 2010 strategic assessment. In particular, ensuring that we have adequate resources and capabilities in place to support planned growth in emerging markets through investments and installing key technologies globally was the primary driver related to the $143.2 million (4.6% of sales) of capital spending during 2014. We anticipate capital spending in 2015 to be 4-5% of sales, net of potential grants and other reimbursements from government authorities that we expect to receive as we continue to prioritize investments in emerging markets and Flavors.</w:t>
      </w:r>
    </w:p>
    <w:p>
      <w:pPr>
        <w:spacing w:after="0" w:line="13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Cash flows from operations were $518.4 million or 16.8% of sales in 2014 as compared to cash flows from operations of $407.6 million, or 13.8% of sales, during 2013. Excluding an incremental pension contribution of $15 million year-over-year and total Spanish tax payments of $33 million (related to the 2003 and 2011 fiscal years) made during 2013, our adjusted cash flow from operations was $455.6 million in 2013, representing an increase of $62.8 million in 2014 from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661"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0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i w:val="1"/>
                <w:iCs w:val="1"/>
                <w:color w:val="auto"/>
              </w:rPr>
              <w:t>(DOLLARS IN THOUSANDS EXCEPT PER SHARE</w:t>
            </w:r>
          </w:p>
        </w:tc>
        <w:tc>
          <w:tcPr>
            <w:tcW w:w="30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17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2014 vs. 2013</w:t>
            </w:r>
          </w:p>
        </w:tc>
        <w:tc>
          <w:tcPr>
            <w:tcW w:w="11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2013 vs. 2012</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04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AMOUNTS)</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3,088,533</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2,952,896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2,821,446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43"/>
        </w:trPr>
        <w:tc>
          <w:tcPr>
            <w:tcW w:w="3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1,726,383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1,668,691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1,645,912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1,362,150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1,284,205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1,175,534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Research and development (R&amp;D) expenses</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253,640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259,838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233,713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(S&amp;A)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514,891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505,877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453,535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43"/>
        </w:trPr>
        <w:tc>
          <w:tcPr>
            <w:tcW w:w="3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1,668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592,321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516,339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486,618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46,067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46,767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41,753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(15,638)</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1,450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0" w:type="dxa"/>
            <w:vAlign w:val="bottom"/>
          </w:tcPr>
          <w:p>
            <w:pPr>
              <w:spacing w:after="0"/>
              <w:rPr>
                <w:sz w:val="1"/>
                <w:szCs w:val="1"/>
                <w:color w:val="auto"/>
              </w:rPr>
            </w:pPr>
          </w:p>
        </w:tc>
      </w:tr>
      <w:tr>
        <w:trPr>
          <w:trHeight w:val="237"/>
        </w:trPr>
        <w:tc>
          <w:tcPr>
            <w:tcW w:w="3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549,061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485,210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443,415</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on income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134,518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131,666</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189,281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7"/>
        </w:trPr>
        <w:tc>
          <w:tcPr>
            <w:tcW w:w="3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414,543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353,544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254,134</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760" w:type="dxa"/>
            <w:vAlign w:val="bottom"/>
            <w:tcBorders>
              <w:bottom w:val="single" w:sz="8" w:color="CCEEFF"/>
            </w:tcBorders>
          </w:tcPr>
          <w:p>
            <w:pPr>
              <w:spacing w:after="0"/>
              <w:rPr>
                <w:sz w:val="5"/>
                <w:szCs w:val="5"/>
                <w:color w:val="auto"/>
              </w:rPr>
            </w:pPr>
          </w:p>
        </w:tc>
        <w:tc>
          <w:tcPr>
            <w:tcW w:w="7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800" w:type="dxa"/>
            <w:vAlign w:val="bottom"/>
            <w:tcBorders>
              <w:bottom w:val="single" w:sz="8" w:color="CCEEFF"/>
            </w:tcBorders>
            <w:gridSpan w:val="5"/>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5.06</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43"/>
        </w:trPr>
        <w:tc>
          <w:tcPr>
            <w:tcW w:w="3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5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R&amp;D as a percentage of sales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5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3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S&amp;A as a percentage of sales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5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0"/>
        </w:trPr>
        <w:tc>
          <w:tcPr>
            <w:tcW w:w="3800" w:type="dxa"/>
            <w:vAlign w:val="bottom"/>
            <w:gridSpan w:val="5"/>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Adjusted operating margin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17.3%</w:t>
            </w:r>
          </w:p>
        </w:tc>
        <w:tc>
          <w:tcPr>
            <w:tcW w:w="15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i w:val="1"/>
                <w:iCs w:val="1"/>
                <w:color w:val="auto"/>
              </w:rPr>
              <w:t>120.0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i w:val="1"/>
                <w:iCs w:val="1"/>
                <w:color w:val="auto"/>
              </w:rPr>
              <w:t>100.0</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5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03"/>
        </w:trPr>
        <w:tc>
          <w:tcPr>
            <w:tcW w:w="380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color w:val="auto"/>
              </w:rPr>
              <w:t>Segment net sales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1,457,055</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1,422,739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1,378,377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3"/>
        </w:trPr>
        <w:tc>
          <w:tcPr>
            <w:tcW w:w="3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1,631,478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1,530,157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1,443,069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3,088,533</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2,952,896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2,821,446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316"/>
        <w:spacing w:after="0" w:line="25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for the twelve months ended December 31, 2014 excludes the operational improvement initiative costs of $2.5 million, Restructuring and other charges, net of $1.3 million and $5.1 million of accelerated depreciation included in Cost of goods sold related to the Fragrance Ingredients Rationalization and several locations in Asia. Adjusted operating margin for the twelve months ended December 31, 2013 excludes the operational improvement initiative costs of $2.3 million, Restructuring and other charges, net of $2.2 million, $6.7 million of accelerated depreciation included in Cost of goods sold related to the Fragrance Ingredients Rationalization and several locations in Asia, and the Spanish capital tax charge of $13.0 million. Adjusted operating margin for the twelve months ended December 31, 2012 excludes Restructuring and other charges, net of $1.7 million.</w:t>
      </w:r>
    </w:p>
    <w:p>
      <w:pPr>
        <w:spacing w:after="0" w:line="13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Cost of goods sold includes the cost of materials and manufacturing expenses; raw materials generally constitute 70% of the total. R&amp;D expenses relate to the development of new and improved molecules and technologies, technical product support and compliance with governmental regulations. S&amp;A expenses include expenses necessary to support our commercial activities and administrative expenses principally associated with staff groups that support our overall operating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2014 IN COMPARISON TO 2013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9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Sales for 2014 totaled $3.1 billion, an increase of 5% from the prior year on both a reported and LC basis, with the acquisition of Aromor adding approximately 1% to both reported and LC basis amounts. The LC growth reflects new win performance (net of losses) in both Flavors and Fragrance Compounds partially offset by volume erosion on existing business. In addition, Fragrance Ingredients sales were up 18% (which includes the benefit of the Aromor acquisition). Overall LC growth was driven by 6% growth in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738" w:right="259" w:bottom="1440" w:gutter="0" w:footer="0" w:header="0"/>
        </w:sectPr>
      </w:pPr>
    </w:p>
    <w:bookmarkStart w:id="30" w:name="page31"/>
    <w:bookmarkEnd w:id="30"/>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Flavors Business Unit</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a reported basis, Flavors sales increased 2%. Excluding the impact of foreign currency, LC sales for the Flavors business increased 4% versus the prior year period. The overall performance reflects new wins offset by volume erosion on existing business. Overall high single-digit growth in Beverage combined with low single-digit growth in Savory and mid single-digit growth in Dairy was partially offset by low single-digit declines in Sweet. Regionally, the Flavors business delivered LC growth in LA, EAME and GA, led by LA, while sales declined in NOAM. Sales in LA were driven by high double-digit gains in Beverage. Sales in GA were led by mid single-digit gains in Savory and sales in EAME were driven by double-digit gains in Beverage. The declines in NOAM were primarily driven by low single-digit declines in Beverage and Sweet, which were only partially offset by double-digit gains in Dairy. EAME performance continues to be led by our performance in the emerging market countries within the region. Globally, Flavors growth was led by high single-digit growth in emerging markets. Overall, emerging markets represented approximately 52% of total Flavors sales.</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Fragrances Business Unit</w:t>
      </w:r>
    </w:p>
    <w:p>
      <w:pPr>
        <w:spacing w:after="0" w:line="9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Fragrances business was up 7% in both reported and LC terms. Year-over-year, 2014 LC sales performance was led by double-digit growth in Fragrance Ingredients, high single-digit growth in Fabric Care and mid single-digit growth in Hair Care categories, as well as low single-digit growth in Fine Fragrances. LC growth within the regions was led by GA at 11% reflecting double-digit gains in the Fabric Care and Fragrance Ingredients. EAME experienced LC sales growth of 8% reflecting double-digit gains in Fragrance Ingredients and high single-digit gains in Fabric Care. LA had LC sales growth of 3% reflecting double-digit gains in Hair Care and Personal Wash. NOAM LC sales increased 4% reflecting double-digit gains in Home Care and mid to high single-digit gains in Fabric Care and Hair Care categories that more than offset low single-digit declines in Fragrance Ingredients. Overall, emerging markets represented 47% of total Fragrances sales.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Sales Performance by Region and Category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 Change in Sales — 2014 vs 2013</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Fine Fragrances</w:t>
            </w:r>
          </w:p>
        </w:tc>
        <w:tc>
          <w:tcPr>
            <w:tcW w:w="13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Ingredients</w:t>
            </w:r>
          </w:p>
        </w:tc>
        <w:tc>
          <w:tcPr>
            <w:tcW w:w="12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Flavors</w:t>
            </w:r>
          </w:p>
        </w:tc>
        <w:tc>
          <w:tcPr>
            <w:tcW w:w="11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Fragrances</w:t>
            </w:r>
          </w:p>
        </w:tc>
        <w:tc>
          <w:tcPr>
            <w:tcW w:w="1340" w:type="dxa"/>
            <w:vAlign w:val="bottom"/>
            <w:gridSpan w:val="2"/>
            <w:vMerge w:val="continue"/>
          </w:tcPr>
          <w:p>
            <w:pPr>
              <w:spacing w:after="0"/>
              <w:rPr>
                <w:sz w:val="16"/>
                <w:szCs w:val="16"/>
                <w:color w:val="auto"/>
              </w:rPr>
            </w:pP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Frag.</w:t>
            </w:r>
          </w:p>
        </w:tc>
        <w:tc>
          <w:tcPr>
            <w:tcW w:w="130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NOAM</w:t>
            </w:r>
          </w:p>
        </w:tc>
        <w:tc>
          <w:tcPr>
            <w:tcW w:w="252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EAME</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0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520" w:type="dxa"/>
            <w:vAlign w:val="bottom"/>
            <w:shd w:val="clear" w:color="auto" w:fill="CCEEFF"/>
          </w:tcPr>
          <w:p>
            <w:pPr>
              <w:ind w:left="60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Local Currency</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3%</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32 %</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10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520" w:type="dxa"/>
            <w:vAlign w:val="bottom"/>
            <w:shd w:val="clear" w:color="auto" w:fill="CCEEFF"/>
          </w:tcPr>
          <w:p>
            <w:pPr>
              <w:ind w:left="60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Local Currency</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4%</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16 %</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7%</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10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520" w:type="dxa"/>
            <w:vAlign w:val="bottom"/>
            <w:shd w:val="clear" w:color="auto" w:fill="CCEEFF"/>
          </w:tcPr>
          <w:p>
            <w:pPr>
              <w:ind w:left="60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Local Currency</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8%</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33 %</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0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520" w:type="dxa"/>
            <w:vAlign w:val="bottom"/>
            <w:shd w:val="clear" w:color="auto" w:fill="CCEEFF"/>
          </w:tcPr>
          <w:p>
            <w:pPr>
              <w:ind w:left="60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Local Currency</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5%</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18 %</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5%</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420" w:hanging="412"/>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currency sales growth is calculated by translating prior year sales at the exchange rates for the corresponding 2014 period.</w:t>
      </w:r>
    </w:p>
    <w:p>
      <w:pPr>
        <w:spacing w:after="0" w:line="98" w:lineRule="exact"/>
        <w:rPr>
          <w:rFonts w:ascii="Times New Roman" w:cs="Times New Roman" w:eastAsia="Times New Roman" w:hAnsi="Times New Roman"/>
          <w:sz w:val="18"/>
          <w:szCs w:val="18"/>
          <w:color w:val="auto"/>
        </w:rPr>
      </w:pPr>
    </w:p>
    <w:p>
      <w:pPr>
        <w:ind w:left="740" w:right="8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NOAM reported sales growth of 1% reflecting a decline of 1% in Flavors as double-digit growth in Dairy was more than offset by volume declines in Sweet and Beverage, and 4% growth in Fragrances. Consumer Fragrances sales were up 8% versus last year as new wins and volume gains in Home Care and Fabric Care were only partially offset by lower volumes on existing business in Fragrance Ingredients.</w:t>
      </w:r>
    </w:p>
    <w:p>
      <w:pPr>
        <w:spacing w:after="0" w:line="68" w:lineRule="exact"/>
        <w:rPr>
          <w:rFonts w:ascii="Times New Roman" w:cs="Times New Roman" w:eastAsia="Times New Roman" w:hAnsi="Times New Roman"/>
          <w:sz w:val="18"/>
          <w:szCs w:val="18"/>
          <w:color w:val="auto"/>
        </w:rPr>
      </w:pPr>
    </w:p>
    <w:p>
      <w:pPr>
        <w:ind w:left="740" w:right="14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EAME LC growth reflects 4% growth in Flavors primarily resulting from double-digit gains in Beverages. This growth was mainly due to new wins within our emerging markets in the region, as well as volume increases. Total Fragrances growth of 8% was driven by double-digit growth in Fragrance Ingredients as well as high single-digit growth in Fabric Care.</w:t>
      </w:r>
    </w:p>
    <w:p>
      <w:pPr>
        <w:spacing w:after="0" w:line="68" w:lineRule="exact"/>
        <w:rPr>
          <w:rFonts w:ascii="Times New Roman" w:cs="Times New Roman" w:eastAsia="Times New Roman" w:hAnsi="Times New Roman"/>
          <w:sz w:val="18"/>
          <w:szCs w:val="18"/>
          <w:color w:val="auto"/>
        </w:rPr>
      </w:pPr>
    </w:p>
    <w:p>
      <w:pPr>
        <w:ind w:left="740" w:right="100" w:hanging="327"/>
        <w:spacing w:after="0" w:line="282"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 LC sales growth of 7% was driven by double-digit gains in Flavors, driven by Beverage. Total Fragrances growth reflects double-digit gains in Hair Care and mid single-digit gains in Fabric Care.</w:t>
      </w:r>
    </w:p>
    <w:p>
      <w:pPr>
        <w:spacing w:after="0" w:line="53" w:lineRule="exact"/>
        <w:rPr>
          <w:rFonts w:ascii="Times New Roman" w:cs="Times New Roman" w:eastAsia="Times New Roman" w:hAnsi="Times New Roman"/>
          <w:sz w:val="18"/>
          <w:szCs w:val="18"/>
          <w:color w:val="auto"/>
        </w:rPr>
      </w:pPr>
    </w:p>
    <w:p>
      <w:pPr>
        <w:ind w:left="740" w:right="28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delivered LC sales growth of 6%, led by mid single-digit gains in Savory. Both Consumer Fragrances and Fine Fragrances experienced high single-digit growth led by double-digit growth in Fabric Care and high single-digit growth in Fine Fragrances. In addition, GA experienced Fragrance Ingredients LC sales growth of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3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Cost of goods sold, as a percentage of sales, decreased 60 bps, on both a reported and adjusted basis, to 55.9% in 2014 compared to 56.5% in 2013 (or 55.6% and 56.2% on an adjusted basis in 2014 and 2013, respectively). Included in cost of goods sold was $7.6 million of charges related to restructuring and operational improvement initiative costs in 2014 and $8.8 million of restructuring and operational improvement initiative costs in 2013.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p>
      <w:pPr>
        <w:spacing w:after="0" w:line="94"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R&amp;D expenses decreased approximately $6.2 million versus the prior year. Overall, R&amp;D expenses decreased 60 bps as a percentage of sales from 8.8% in 2013 to 8.2% in 2014. This decrease is primarily driven by lower incentive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Administrative (S&amp;A)</w:t>
      </w:r>
    </w:p>
    <w:p>
      <w:pPr>
        <w:spacing w:after="0" w:line="94"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S&amp;A, as a percentage of sales, decreased 40 bps to 16.7% versus 17.1%. Excluding the $13.0 million Spanish capital tax charge (as discussed in Note 17 to the Consolidated Financial Statements) in 2013, adjusted S&amp;A expenses, as a percentage of sales, were 16.7% in 2013, consistent with the current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Restructuring and other charges primarily consist of separation costs for employees, including severance, outplacement and other benefit costs.</w:t>
      </w:r>
    </w:p>
    <w:p>
      <w:pPr>
        <w:spacing w:after="0" w:line="165"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4"/>
          <w:szCs w:val="14"/>
          <w:b w:val="1"/>
          <w:bCs w:val="1"/>
          <w:color w:val="auto"/>
        </w:rPr>
        <w:t>Restructuring Charges</w:t>
      </w:r>
    </w:p>
    <w:p>
      <w:pPr>
        <w:spacing w:after="0" w:line="6"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2,151</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2,151</w:t>
            </w:r>
          </w:p>
        </w:tc>
      </w:tr>
      <w:tr>
        <w:trPr>
          <w:trHeight w:val="27"/>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Fragrance Ingredients Rationalization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2014, the Company closed its fragrance ingredients manufacturing facility in Augusta, Georgia and consolidated production into other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In connection with this closure in 2014, the Company incurred charges of $13.8 million, consisting primarily of $10.3 million in accelerated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fixed assets, $2.2 million in personnel-related costs and $1.3 million in plant shutdown and other related costs. The Company recorded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of $7.4 million during 2013, consisting of $2.2 million of pre-tax charges related to severance included in Restructuring and other charges, net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million of non-cash charges related to accelerated depreciation included in Cost of goods sold. During 2014, the Company recorded $1.3 million of plant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shutdown and other related costs included in Restructuring and other charges, net as well as an additional $5.1 million of non-cash charges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depreciation included in Cost of goods sold. As a result of this closure, 43 positions have been eliminated. The Company estimates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$3 - $4 million of the costs will be or have been cash expenditures.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5" w:lineRule="exact"/>
        <w:rPr>
          <w:sz w:val="20"/>
          <w:szCs w:val="20"/>
          <w:color w:val="auto"/>
        </w:rPr>
      </w:pPr>
    </w:p>
    <w:p>
      <w:pPr>
        <w:ind w:right="560" w:firstLine="432"/>
        <w:spacing w:after="0" w:line="266" w:lineRule="auto"/>
        <w:rPr>
          <w:sz w:val="20"/>
          <w:szCs w:val="20"/>
          <w:color w:val="auto"/>
        </w:rPr>
      </w:pPr>
      <w:r>
        <w:rPr>
          <w:rFonts w:ascii="Times New Roman" w:cs="Times New Roman" w:eastAsia="Times New Roman" w:hAnsi="Times New Roman"/>
          <w:sz w:val="18"/>
          <w:szCs w:val="18"/>
          <w:color w:val="auto"/>
        </w:rPr>
        <w:t>During 2013, the Company reversed $1.2 million of employee-related liabilities, offset by $0.6 million of additional costs incurred related to the European Rationalization Plan announced in 2009. Additionally, during 2013, the Company recorded a charge of $1.7 million related to the Strategic Initiative, which began in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738"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Operating Results by Business Unit</w:t>
      </w:r>
    </w:p>
    <w:p>
      <w:pPr>
        <w:spacing w:after="0" w:line="94"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We evaluate the performance of business units based on segment profit which is defined as operating profit before Restructuring and certain non-recurring items, Interest expense, Other expense, net and Taxes on income. See Note 12 to our Consolidated Financial Statements for the reconciliation to Income before taxes.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60" w:type="dxa"/>
            <w:vAlign w:val="bottom"/>
          </w:tcPr>
          <w:p>
            <w:pPr>
              <w:spacing w:after="0"/>
              <w:rPr>
                <w:sz w:val="13"/>
                <w:szCs w:val="13"/>
                <w:color w:val="auto"/>
              </w:rPr>
            </w:pPr>
          </w:p>
        </w:tc>
      </w:t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28"/>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331,257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323,562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335,447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283,651</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Global Expenses</w:t>
            </w:r>
          </w:p>
        </w:tc>
        <w:tc>
          <w:tcPr>
            <w:tcW w:w="3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(65,443)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(66,942)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(2,151)</w:t>
            </w:r>
          </w:p>
        </w:tc>
      </w:tr>
      <w:tr>
        <w:trPr>
          <w:trHeight w:val="243"/>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Spanish capital tax charge</w:t>
            </w:r>
          </w:p>
        </w:tc>
        <w:tc>
          <w:tcPr>
            <w:tcW w:w="3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(13,011)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Operational improvement initiative costs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(7,642)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(8,770)</w:t>
            </w:r>
          </w:p>
        </w:tc>
      </w:tr>
      <w:tr>
        <w:trPr>
          <w:trHeight w:val="237"/>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592,321</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516,339</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Profit margin</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bl>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Flavors Business Unit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Flavors segment profit totaled $331.3 million in 2014 (22.7% of sales) consistent with $323.6 million (22.7% of sales) in the comparable 2013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segment profit was driven by lower incentive compensation expense.</w:t>
      </w:r>
    </w:p>
    <w:p>
      <w:pPr>
        <w:spacing w:after="0" w:line="1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Fragrances Business Unit</w:t>
      </w:r>
    </w:p>
    <w:p>
      <w:pPr>
        <w:spacing w:after="0" w:line="94"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Fragrances segment profit totaled $335.4 million in 2014 (20.6% of sales), compared to $283.7 million (18.5% of sales) reported in 2013. The improvement in segment profit and profit margin was primarily due to strong sales growth combined with gross margin expansion, ongoing cost discipline, and lower incentive compensation expense.</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Global Expenses</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Global expenses represent corporate and headquarter-related expenses which include legal, finance, human resources and R&amp;D and other administrative expenses that are not allocated to an individual business unit. In 2014, Global expenses were $65.4 million compared to $66.9 million during 2013. The decrease is principally driven by lower incentive compensation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In 2014, interest expense decreased $0.7 million to $46.1 million, as a result of the refinancing of our debt in 2013. Average cost of debt was 4.9% for the 2014 period compared to 4.7% in 2013.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94"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Other (income) expense, net decreased approximately $12.8 million to $2.8 million of income in 2014 versus $15.6 million of income in 2013. The decrease was largely driven by a $14.2 million gain related to the sale of non-operating assets that occurred during 2013.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effective tax rate was 24.5% in 2014 as compared to 27.1% in 2013. Excluding the $2.6 million tax benefit associated with the pretax restructuring charges and operational improvement initiative costs as well as the $3.8 million tax benefit related to the reserve reversal for the 2001 Spanish dividend withholding tax case (as discussed in Note 9 of the Consolidated Financial Statements), the adjusted tax rate for 2014 is 25.3%. Excluding the tax charge of $6.2 million related to the 2002-2003 income tax cases (as discussed in Note 9 of the Consolidated Financial Statements) and net of the $3.9 million tax benefit associated with the pretax Spanish capital tax charge (as discussed in Note 17 of the Consolidated Financial Statements), the adjusted tax rate for 2013 was 25.7%. The year-over-year reduction reflects a benefit from mix of earnings and lower loss provisions partially offset by a higher cost of repatriation.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117"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2013 IN COMPARISON TO 2012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94"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Sales for 2013 totaled $3.0 billion, an increase of 5% from the prior year. Excluding currency impacts, LC sales grew by 5% (or 6% on a like-for-like basis, excluding the effects of the exit of low margin sales activities in Flavors), driven principally by new wins and the realization of price increases. LC sales growth was largely driven by new customer wins, with price offset by volume reductions on existing business, primarily in Fragrance Ingredients.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Flavors Business Unit</w:t>
      </w:r>
    </w:p>
    <w:p>
      <w:pPr>
        <w:spacing w:after="0" w:line="94"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On a reported basis, Flavors sales increased 3%. Excluding the impact of foreign currency, LC sales for the Flavors business increased 4% versus the prior year period. Excluding the impact of a 2% decline in sales associated with the strategic decision to exit certain lower margin sales activities, LC sales increased 6% on a like-for-like basis. The increase was driven by growth from new wins. LC growth was led by double-digit gains in Beverages, mid single-digit gains in Savory and single-digit gains in Sweet, all of which benefited from new wins, supported by our innovative technology. Regionally, the business benefited from mid to high single-digit LC growth in GA, EAME and LA, which was partially offset by low single-digit LC declines in NOAM. On a like-for-like basis, NOAM experienced mid single-digit growth. LC growth in EAME and GA reflect growth in all categories led by double-digit growth in Beverages in EAME and high single-digit gains in Savory and Dairy in GA. LA LC growth reflects double-digit growth in Beverages. Sales in NOAM were led by double-digit gains in Beverages. EAME performance was led by our performance in the emerging market countries within the region. Globally, Flavors growth was led by high single-digit growth in emerging markets. Overall, emerging markets represented approximately 51% of total Flavors sales.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Fragrances Business Unit</w:t>
      </w:r>
    </w:p>
    <w:p>
      <w:pPr>
        <w:spacing w:after="0" w:line="9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Fragrances business was up 6% in both reported and LC terms compared to flat LC sales in 2012 over 2011. New wins across Fragrance Compounds were partially offset by volume declines in Fragrance Ingredients principally related to the transition of volume to Fragrance Compounds. Year-over-year, 2013 LC sales performance was led by double-digit growth in Fabric Care and high single-digit growth in Fine Fragrances and Hair Care categories along with mid single-digit gains in Toiletries and Home Care. Offsetting these gains was a 4% decline in Fragrance Ingredients. LC growth within the regions was led by GA at 13% reflecting double-digit gains in the Hair Care and Toiletries categories and double-digit gains in Fabric Care and high single-digit growth in Fragrance Ingredients. LA experienced LC sales growth of 11% reflecting double-digit gains in Fine Fragrances and the Fabric Care and Personal Wash categories and EAME had LC sales growth of 4% reflecting double-digit gains in Fine Fragrances and mid to high single-digit gains in Fabric Care, Hair Care and Toiletries categories, with both regions partially offset by mid single-digit declines in Fragrance Ingredients. NOAM LC sales decreased reflecting double-digit gains in Home Care and Hair Care categories that were more than offset by high single-digit declines in Fine Fragrances, Fabric Care and Fragrance Ingredients. Overall, emerging markets represented 47% of total Fragrances sales.</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Sales Performance by Region and Category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 Change in Sales — 2013 vs 2012</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Fine Fragrances</w:t>
            </w:r>
          </w:p>
        </w:tc>
        <w:tc>
          <w:tcPr>
            <w:tcW w:w="13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Ingredients</w:t>
            </w:r>
          </w:p>
        </w:tc>
        <w:tc>
          <w:tcPr>
            <w:tcW w:w="12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Flavors</w:t>
            </w:r>
          </w:p>
        </w:tc>
        <w:tc>
          <w:tcPr>
            <w:tcW w:w="11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Fragrances</w:t>
            </w:r>
          </w:p>
        </w:tc>
        <w:tc>
          <w:tcPr>
            <w:tcW w:w="1340" w:type="dxa"/>
            <w:vAlign w:val="bottom"/>
            <w:gridSpan w:val="2"/>
            <w:vMerge w:val="continue"/>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Frag.</w:t>
            </w:r>
          </w:p>
        </w:tc>
        <w:tc>
          <w:tcPr>
            <w:tcW w:w="132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NOAM</w:t>
            </w:r>
          </w:p>
        </w:tc>
        <w:tc>
          <w:tcPr>
            <w:tcW w:w="2500" w:type="dxa"/>
            <w:vAlign w:val="bottom"/>
            <w:tcBorders>
              <w:top w:val="single" w:sz="8" w:color="CCEEFF"/>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EAME</w:t>
            </w:r>
          </w:p>
        </w:tc>
        <w:tc>
          <w:tcPr>
            <w:tcW w:w="25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1"/>
                <w:szCs w:val="21"/>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-4 %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80" w:type="dxa"/>
            <w:vAlign w:val="bottom"/>
            <w:shd w:val="clear" w:color="auto" w:fill="CCEEFF"/>
          </w:tcPr>
          <w:p>
            <w:pPr>
              <w:spacing w:after="0"/>
              <w:rPr>
                <w:sz w:val="23"/>
                <w:szCs w:val="23"/>
                <w:color w:val="auto"/>
              </w:rPr>
            </w:pPr>
          </w:p>
        </w:tc>
        <w:tc>
          <w:tcPr>
            <w:tcW w:w="2500" w:type="dxa"/>
            <w:vAlign w:val="bottom"/>
            <w:shd w:val="clear" w:color="auto" w:fill="CCEEFF"/>
          </w:tcPr>
          <w:p>
            <w:pPr>
              <w:ind w:left="58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Local Currency</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5 %</w:t>
            </w: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w:t>
            </w:r>
          </w:p>
        </w:tc>
        <w:tc>
          <w:tcPr>
            <w:tcW w:w="25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21"/>
                <w:szCs w:val="21"/>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-5 %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80" w:type="dxa"/>
            <w:vAlign w:val="bottom"/>
            <w:shd w:val="clear" w:color="auto" w:fill="CCEEFF"/>
          </w:tcPr>
          <w:p>
            <w:pPr>
              <w:spacing w:after="0"/>
              <w:rPr>
                <w:sz w:val="23"/>
                <w:szCs w:val="23"/>
                <w:color w:val="auto"/>
              </w:rPr>
            </w:pPr>
          </w:p>
        </w:tc>
        <w:tc>
          <w:tcPr>
            <w:tcW w:w="2500" w:type="dxa"/>
            <w:vAlign w:val="bottom"/>
            <w:shd w:val="clear" w:color="auto" w:fill="CCEEFF"/>
          </w:tcPr>
          <w:p>
            <w:pPr>
              <w:ind w:left="58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Local Currency</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10 %</w:t>
            </w: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w:t>
            </w:r>
          </w:p>
        </w:tc>
        <w:tc>
          <w:tcPr>
            <w:tcW w:w="25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-2 %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21"/>
                <w:szCs w:val="21"/>
                <w:color w:val="auto"/>
              </w:rPr>
            </w:pPr>
          </w:p>
        </w:tc>
        <w:tc>
          <w:tcPr>
            <w:tcW w:w="12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3 %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80" w:type="dxa"/>
            <w:vAlign w:val="bottom"/>
            <w:shd w:val="clear" w:color="auto" w:fill="CCEEFF"/>
          </w:tcPr>
          <w:p>
            <w:pPr>
              <w:spacing w:after="0"/>
              <w:rPr>
                <w:sz w:val="23"/>
                <w:szCs w:val="23"/>
                <w:color w:val="auto"/>
              </w:rPr>
            </w:pPr>
          </w:p>
        </w:tc>
        <w:tc>
          <w:tcPr>
            <w:tcW w:w="2500" w:type="dxa"/>
            <w:vAlign w:val="bottom"/>
            <w:shd w:val="clear" w:color="auto" w:fill="CCEEFF"/>
          </w:tcPr>
          <w:p>
            <w:pPr>
              <w:ind w:left="58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Local Currency</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14%</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9 %</w:t>
            </w: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21"/>
                <w:szCs w:val="21"/>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-4 %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80" w:type="dxa"/>
            <w:vAlign w:val="bottom"/>
            <w:shd w:val="clear" w:color="auto" w:fill="CCEEFF"/>
          </w:tcPr>
          <w:p>
            <w:pPr>
              <w:spacing w:after="0"/>
              <w:rPr>
                <w:sz w:val="23"/>
                <w:szCs w:val="23"/>
                <w:color w:val="auto"/>
              </w:rPr>
            </w:pPr>
          </w:p>
        </w:tc>
        <w:tc>
          <w:tcPr>
            <w:tcW w:w="2500" w:type="dxa"/>
            <w:vAlign w:val="bottom"/>
            <w:shd w:val="clear" w:color="auto" w:fill="CCEEFF"/>
          </w:tcPr>
          <w:p>
            <w:pPr>
              <w:ind w:left="58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Local Currency</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currency sales growth is calculated by translating prior year sales at the exchange rates for the corresponding 2013 period.</w:t>
      </w:r>
    </w:p>
    <w:p>
      <w:pPr>
        <w:spacing w:after="0" w:line="98" w:lineRule="exact"/>
        <w:rPr>
          <w:rFonts w:ascii="Times New Roman" w:cs="Times New Roman" w:eastAsia="Times New Roman" w:hAnsi="Times New Roman"/>
          <w:sz w:val="18"/>
          <w:szCs w:val="18"/>
          <w:color w:val="auto"/>
        </w:rPr>
      </w:pPr>
    </w:p>
    <w:p>
      <w:pPr>
        <w:ind w:left="740" w:hanging="327"/>
        <w:spacing w:after="0" w:line="261"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NOAM reported sales decline reflects a 2% Flavors decline as double-digit growth in Beverages was more than offset by volume declines in Sweet and Dairy, driven primarily by the exit of low margin sales activities. In Fragrances, Consumer Fragrances sales were up 4% versus last year as new wins and volume gains in Home Care were offset by lower volumes on existing business in Fabric Care. Fine Fragrances sales declined 6% as a result of mid single-digit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738" w:right="259" w:bottom="1440" w:gutter="0" w:footer="0" w:header="0"/>
        </w:sectPr>
      </w:pPr>
    </w:p>
    <w:bookmarkStart w:id="34" w:name="page35"/>
    <w:bookmarkEnd w:id="34"/>
    <w:p>
      <w:pPr>
        <w:ind w:left="740" w:right="300"/>
        <w:spacing w:after="0" w:line="329" w:lineRule="auto"/>
        <w:rPr>
          <w:sz w:val="20"/>
          <w:szCs w:val="20"/>
          <w:color w:val="auto"/>
        </w:rPr>
      </w:pPr>
      <w:r>
        <w:rPr>
          <w:rFonts w:ascii="Times New Roman" w:cs="Times New Roman" w:eastAsia="Times New Roman" w:hAnsi="Times New Roman"/>
          <w:sz w:val="18"/>
          <w:szCs w:val="18"/>
          <w:color w:val="auto"/>
        </w:rPr>
        <w:t>declines in Fine Fragrances. On a like-for-like basis, excluding the effects of the exit of low margin sales activities, NOAM Flavors experienced mid single-digit growth.</w:t>
      </w:r>
    </w:p>
    <w:p>
      <w:pPr>
        <w:spacing w:after="0" w:line="27" w:lineRule="exact"/>
        <w:rPr>
          <w:sz w:val="20"/>
          <w:szCs w:val="20"/>
          <w:color w:val="auto"/>
        </w:rPr>
      </w:pPr>
    </w:p>
    <w:p>
      <w:pPr>
        <w:ind w:left="740" w:hanging="327"/>
        <w:spacing w:after="0" w:line="258"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EAME LC growth was led by 6% growth in Flavors resulting from double-digit gains in Beverages along with mid single-digit growth in Savory. This growth was mainly due to new wins within our emerging markets in the region, as well as volume increases. On a like-for-like basis, excluding the effects of the exit of low margin sales activities, EAME Flavors experienced high single-digit growth. Fine Fragrances had LC sales growth of 11% and Consumer Fragrances experienced 4% LC growth driven by high single-digit gains in Fabric Care and mid single-digit growth in Hair Care and Toiletries, which more than offset volume declines in Fragrance Ingredients of 6% year-over-year.</w:t>
      </w:r>
    </w:p>
    <w:p>
      <w:pPr>
        <w:spacing w:after="0" w:line="75" w:lineRule="exact"/>
        <w:rPr>
          <w:rFonts w:ascii="Times New Roman" w:cs="Times New Roman" w:eastAsia="Times New Roman" w:hAnsi="Times New Roman"/>
          <w:sz w:val="18"/>
          <w:szCs w:val="18"/>
          <w:color w:val="auto"/>
        </w:rPr>
      </w:pPr>
    </w:p>
    <w:p>
      <w:pPr>
        <w:ind w:left="740" w:right="20" w:hanging="327"/>
        <w:spacing w:after="0" w:line="258"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 LC sales growth of 10% was driven by double-digit gains in Fragrance Compounds, reflecting double-digit LC sales growth in Fabric Care, Personal Wash and Fine Fragrances, and mid single-digit growth in Hair Care and Toiletries categories, which were only partially offset by mid single-digit volume declines in Fragrance Ingredients. Flavors LC sales growth was 8%, driven by double-digit gains in Beverages and mid single-digit gains in Savory, which were only partially offset by single-digit declines in Sweet (as a result of exiting low margin sales activities). On a like-for-like basis, excluding the effects of the exit of low margin sales activities, LA Flavors experienced double-digit growth.</w:t>
      </w:r>
    </w:p>
    <w:p>
      <w:pPr>
        <w:spacing w:after="0" w:line="75" w:lineRule="exact"/>
        <w:rPr>
          <w:rFonts w:ascii="Times New Roman" w:cs="Times New Roman" w:eastAsia="Times New Roman" w:hAnsi="Times New Roman"/>
          <w:sz w:val="18"/>
          <w:szCs w:val="18"/>
          <w:color w:val="auto"/>
        </w:rPr>
      </w:pPr>
    </w:p>
    <w:p>
      <w:pPr>
        <w:ind w:left="740" w:right="120" w:hanging="327"/>
        <w:spacing w:after="0" w:line="261"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delivered LC sales growth of 9%, led by high single-digit gains in Savory and Dairy, along with mid single-digit growth in Beverages and Sweet categories. On a like-for-like basis, excluding the effects of the exit of low margin sales activities, GA Flavors experienced high single-digit growth. Consumer Fragrances experienced double-digit growth led by high double-digit growth in Fabric Care, Hair Care and Toiletries. In addition, GA experienced Fragrance Ingredients LC sales growth of 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94"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Cost of goods sold, as a percentage of sales, decreased 180 bps to 56.5% in 2013 compared to 58.3% in 2012. The improvement versus prior year was mainly driven by a slightly favorable input cost environment, manufacturing efficiencies, favorable sales mix and price realization. Overall, raw material costs have decreased slightly on a year-over-year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p>
      <w:pPr>
        <w:spacing w:after="0" w:line="9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R&amp;D expenses increased approximately $26.1 million versus the prior year as a result of additional investments in technology and innovation, consistent with our strategy to accelerate levels of innovation into the marketplace. Our product portfolio is actively managed to support gross margin expansion and be aligned with the strategic priorities identified for each of our operating segments. Overall, R&amp;D expenses increased 50 bps as a percentage of sales from 8.3% in 2012 to 8.8% in 2013.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Administrative (S&amp;A)</w:t>
      </w:r>
    </w:p>
    <w:p>
      <w:pPr>
        <w:spacing w:after="0" w:line="9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S&amp;A, as a percentage of sales, increased 100 bps to 17.1% versus 16.1%. Excluding the $13.0 million Spanish capital tax charge (as discussed in Note 17 to the Consolidated Financial Statements), adjusted S&amp;A expenses, as a percentage of sales, were 16.7%, an increase of 60 bps from the prior year. The increase in adjusted S&amp;A expenses was driven by higher incentive compensation, planned spend in sales activities (mainly in emerging markets) as well as the mark-to-market costs of our Deferred Compensation Plan awards.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Restructuring and other charges primarily consist of separation costs for employees, including severance, outplacement and other benefit costs.</w:t>
      </w:r>
    </w:p>
    <w:p>
      <w:pPr>
        <w:spacing w:after="0" w:line="165"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Restructuring Charges</w:t>
      </w:r>
    </w:p>
    <w:p>
      <w:pPr>
        <w:spacing w:after="0" w:line="6"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1,636</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1,668</w:t>
            </w:r>
          </w:p>
        </w:tc>
      </w:tr>
      <w:tr>
        <w:trPr>
          <w:trHeight w:val="27"/>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Fragrance Ingredients Rationalization</w:t>
      </w:r>
    </w:p>
    <w:p>
      <w:pPr>
        <w:spacing w:after="0" w:line="9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the second quarter of 2013, the Company announced that it intended to close its fragrance ingredients manufacturing facility in Augusta, Georgia by July 2014 and planned to consolidate production into other Company facilities. The Company recorded total charges of $7.4 million during 2013, consisting of $2.2 million of pre-tax charges related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15" w:right="239" w:bottom="1440" w:gutter="0" w:footer="0" w:header="0"/>
        </w:sectPr>
      </w:pPr>
    </w:p>
    <w:bookmarkStart w:id="35" w:name="page36"/>
    <w:bookmarkEnd w:id="35"/>
    <w:p>
      <w:pPr>
        <w:ind w:right="80"/>
        <w:spacing w:after="0" w:line="282" w:lineRule="auto"/>
        <w:rPr>
          <w:sz w:val="20"/>
          <w:szCs w:val="20"/>
          <w:color w:val="auto"/>
        </w:rPr>
      </w:pPr>
      <w:r>
        <w:rPr>
          <w:rFonts w:ascii="Times New Roman" w:cs="Times New Roman" w:eastAsia="Times New Roman" w:hAnsi="Times New Roman"/>
          <w:sz w:val="18"/>
          <w:szCs w:val="18"/>
          <w:color w:val="auto"/>
        </w:rPr>
        <w:t>severance included in Restructuring and other charges, net and $5.2 million of non-cash charges related to accelerated depreciation included in Cost of goods sold.</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Strategic Initiative</w:t>
      </w:r>
    </w:p>
    <w:p>
      <w:pPr>
        <w:spacing w:after="0" w:line="9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December 2011, we recorded a charge to cover a restructuring which involved a reduction in workforce as well as a realignment of responsibilities in our Fragrances business unit. This alignment partly addresses issues identified in our 2010 strategic review process towards improving the underperforming areas of our portfolio. It resulted in the redeployment of creative resources in emerging markets and the reorganization from a regional to a global category structure. We implemented a plan to streamline business operations globally which resulted in the elimination of 72 positions, across Fragrances, Flavors and Corporate functions. As a result, we recorded a provision for severance costs of $9.8 million to Restructuring and other charges. We recorded an additional net charge of $1.7 million during the twelve months ended December 31, 2012, principally attributable to adjustments based on the final separation terms with affected employees. We realized pre-tax savings of approximately $8 million in 2012.</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Rationalization Plan</w:t>
      </w:r>
    </w:p>
    <w:p>
      <w:pPr>
        <w:spacing w:after="0" w:line="94"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During the second quarter 2011, we executed a partial settlement of our pension obligations with the former employees of the Drogheda, Ireland facility. As a result, we recorded a charge of $3.9 million related to the European rationalization plan to cover settlements and special termination benefits. This settlement was funded primarily through pension plan investment trust assets.</w:t>
      </w:r>
    </w:p>
    <w:p>
      <w:pPr>
        <w:spacing w:after="0" w:line="12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We also reversed $1.2 million of employee-related liabilities in 2011 due to certain employees accepting other roles within the Company, offset by $0.6 million of additional costs incurred.</w:t>
      </w:r>
    </w:p>
    <w:p>
      <w:pPr>
        <w:spacing w:after="0" w:line="108"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Based upon the period-end estimates regarding the separation agreements, we increased our provision for severance costs by $4.4 million in 2010. The remaining $5.7 million of the restructuring charges in 2010 was mainly due to accelerated depreciation and other restructuring related costs pertaining to the rationalization of our Fragrances and Ingredients operations in Europe.</w:t>
      </w:r>
    </w:p>
    <w:p>
      <w:pPr>
        <w:spacing w:after="0" w:line="122"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In the aggregate, as of December 31, 2013, we have recorded expenses of $34.1 million relating to the European Rationalization Plan and $11.5 million for the Strategic Initiative, of which $41.5 million was recorded to Restructuring and other charges, net and $11.6 million was recorded to Cost of goods sold, R&amp;D and Selling and administrative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by Business Unit</w:t>
      </w:r>
    </w:p>
    <w:p>
      <w:pPr>
        <w:spacing w:after="0" w:line="94"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We evaluate the performance of business units based on segment profit which is defined as operating profit before Restructuring and certain non-recurring items, Interest expense, Other expense, net and Taxes on income. See Note 12 to our Consolidated Financial Statements for the reconciliation to Income before taxes.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60" w:type="dxa"/>
            <w:vAlign w:val="bottom"/>
          </w:tcPr>
          <w:p>
            <w:pPr>
              <w:spacing w:after="0"/>
              <w:rPr>
                <w:sz w:val="13"/>
                <w:szCs w:val="13"/>
                <w:color w:val="auto"/>
              </w:rPr>
            </w:pPr>
          </w:p>
        </w:tc>
      </w:t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28"/>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323,562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298,326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283,651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238,379</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Global Expenses</w:t>
            </w:r>
          </w:p>
        </w:tc>
        <w:tc>
          <w:tcPr>
            <w:tcW w:w="3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(66,942)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(48,419)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(1,668)</w:t>
            </w:r>
          </w:p>
        </w:tc>
      </w:tr>
      <w:tr>
        <w:trPr>
          <w:trHeight w:val="243"/>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Spanish capital tax charge</w:t>
            </w:r>
          </w:p>
        </w:tc>
        <w:tc>
          <w:tcPr>
            <w:tcW w:w="3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(13,011)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Operational improvement initiative costs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516,339</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486,618</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Profit margin</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Flavors Business Unit</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Flavors segment profit totaled $323.6 million in 2013 (22.7% of sales) compared to $298.3 million (21.6% of sales) in the comparable 2012 period. The improvement in profitability was mainly driven by strong volume growth, favorable category mix, including the impact of exiting low margin sales activities, and the net impact of price versus input costs, which were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661" w:right="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partially offset by ongoing investments in R&amp;D, higher employee costs and increased incentive compensation related to strong 2013 performance.</w:t>
      </w:r>
    </w:p>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Fragrances Business Unit</w:t>
      </w:r>
    </w:p>
    <w:p>
      <w:pPr>
        <w:spacing w:after="0" w:line="9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Fragrances segment profit totaled $283.7 million in 2013 (18.5% of sales), compared to $238.4 million (16.5% of sales) reported in 2012. The increase in profitability was driven by the strong sales growth combined with further gross margin expansion and ongoing cost discipline, which more than offset increased R&amp;D and incentive compensation related to strong 2013 performance.</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Global Expenses</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Global expenses represent corporate and headquarter-related expenses which include legal, finance, human resources and R&amp;D and other administrative expenses that are not allocated to an individual business unit. In 2013, Global expenses were $66.9 million compared to $48.4 million during 2012. The increase principally includes higher incentive compensation and pension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In 2013, interest expense increased $5.0 million to $46.8 million. The increase in interest expense principally reflects new long-term borrowings from our senior note offering in the second quarter of 2013. Average cost of debt was 4.7% for the 2013 period compared to 4.6% in 2012.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94"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approximately $17.1 million to $15.6 million of income in 2013 versus $1.5 million of expense in 2012. The increase was largely driven by a $14.2 million gain related to the sale of non-operating assets that occurred during 2013.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effective tax rate was 27.1% in 2013 as compared to 42.7% in 2012. Excluding the tax charge of $6.2 million related to the 2002-2003 income tax cases (as discussed in Note 9 of the Consolidated Financial Statements) and net of the $3.9 million tax benefit associated with the pretax Spanish capital tax charge (as discussed in Note 17 of the Consolidated Financial Statements), the adjusted tax rate for 2013 was 25.7%. Included in 2012 results are tax charges of $72.4 million associated with the Spanish tax settlement and pre-tax restructuring charges of $1.7 million ($1.1 million after-tax). Excluding these items, the adjusted effective tax rate for 2012 was 26.4%. The 2012 period also includes a provision of $12.4 million related to the Spanish dividend withholding tax cases, which was partially offset by a $10.6 million benefit due to a corporate restructuring of certain of our foreign subsidiaries, a lower cost of remittances and other reserve adjustments on uncertain tax positions. The year-over-year reduction also reflects the reinstatement of the U.S. federal R&amp;D credit in 2013 partially offset by a higher cost of repatriation.</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$478.6 million at December 31, 2014 compared to $405.5 million at December 31, 2013, of which $249.1 million of the balance at December 31, 2014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accumulated earnings of our foreign subsidiaries because we have the ability and plan to reinvest the undistributed earnings indefinitely.</w:t>
      </w:r>
    </w:p>
    <w:p>
      <w:pPr>
        <w:spacing w:after="0" w:line="13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U.S. deferred tax assets. The Company regularly repatriates, in the form of dividends from its non-U.S. subsidiaries, a portion of its current year earnings to fund financial obligations in the U.S. These repatriations of current year earnings totaled $248.0 million, $128.0 million and $97.6 million in 2014, 2013 and 2012, respectively.</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94"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Operating cash flows in 2014 were $518.4 million compared to $407.6 million in 2013, which included $48 million of cash payments related to the Spanish tax cases and incremental U.S. pension contributions, and $323.8 million in 2012, which included an outflow of cash of $105.5 million associated with the Spanish tax settlement (as discussed in Note 9 to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61" w:right="239" w:bottom="1440" w:gutter="0" w:footer="0" w:header="0"/>
        </w:sectPr>
      </w:pPr>
    </w:p>
    <w:bookmarkStart w:id="37" w:name="page38"/>
    <w:bookmarkEnd w:id="37"/>
    <w:p>
      <w:pPr>
        <w:ind w:right="180"/>
        <w:spacing w:after="0" w:line="261" w:lineRule="auto"/>
        <w:rPr>
          <w:sz w:val="20"/>
          <w:szCs w:val="20"/>
          <w:color w:val="auto"/>
        </w:rPr>
      </w:pPr>
      <w:r>
        <w:rPr>
          <w:rFonts w:ascii="Times New Roman" w:cs="Times New Roman" w:eastAsia="Times New Roman" w:hAnsi="Times New Roman"/>
          <w:sz w:val="18"/>
          <w:szCs w:val="18"/>
          <w:color w:val="auto"/>
        </w:rPr>
        <w:t>Consolidated Financial Statements). The cash flow impact associated with core working capital (trade receivables, inventories and accounts payable) improved compared to 2013. Operating cash flows versus the prior year also reflect strong net income growth and improvements in working capital as a percentage of sales. Although we have appealed the lower court ruling on our Spanish capital tax case, we made payment of $11.2 million (representing the principal amount) to the Spanish government relating to the case during the first quarter of 2014, which is refundable if we prevail on our appeal.</w:t>
      </w:r>
    </w:p>
    <w:p>
      <w:pPr>
        <w:spacing w:after="0" w:line="126"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Working capital (current assets less current liabilities) totaled $1,191.2 million at year-end 2014 compared to $1,092.5 million at December 31, 2013. This increase in working capital of $98.7 million primarily reflects strong sales growth and inventory increases associated with plant startups. 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We estimate that, as a result of participating in the programs, there was a beneficial impact to cash inflows from operations of approximately $33 million, $7 million and $18 million in 2014, 2013 and 2012, respectively. The cost of participating in these programs was immaterial to our results in all periods.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9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Net investing activities in 2014 utilized $221.3 million compared to $105.4 million and $114.3 million in 2013 and 2012, respectively. The increase in the investing activities was principally driven by the acquisition of Aromor in the first quarter of 2014.</w:t>
      </w:r>
    </w:p>
    <w:p>
      <w:pPr>
        <w:spacing w:after="0" w:line="108"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Additions to property, plant and equipment were $143.2 million, $134.2 million and $126.1 million in 2014, 2013 and 2012, respectively, and are again expected to be 4-5% of sales in 2015, net of potential grants and other reimbursements from government authorities that we expect to receive. Investments were largely focused on emerging markets and new technology consistent with our strategy.</w:t>
      </w:r>
    </w:p>
    <w:p>
      <w:pPr>
        <w:spacing w:after="0" w:line="122"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On January 16, 2014, the Company completed the acquisition of Aromor Flavors and Fragrances Ltd., a privately held manufacturer and marketer of complex specialty ingredients that are used in fragrances and flavors. IFF funded the transaction with cash.</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9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Net financing activities in 2014 had an outflow of $202.3 million compared to an outflow of $217.0 million and an inflow of $25.4 million in 2013 and 2012, respectively. The decrease in outflow of cash used in financing activities in 2014 as compared to 2013 principally reflects higher incremental dividend payments and treasury share repurchases in 2014 which were more than offset by the repayment of long-term debt of $100 million made in July 2013. The outflow of cash used in financing activities in 2013 compared to the inflow of cash in 2012 principally reflects the repayment of long-term debt of $100 million made in 2013 and changes in the revolving credit facility borrowings in 2013 compared to 2012.</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31, 2014, we had $942.3 million of debt outstanding compared to $932.8 million outstanding at December 31, 2013.</w:t>
      </w:r>
    </w:p>
    <w:p>
      <w:pPr>
        <w:spacing w:after="0" w:line="17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paid dividends totaling $133.2 million, $87.3 million and $130.9 million in 2014, 2013 and 2012, respectively. The cash dividend declared per share in 2014, 2013 and 2012 was $1.72, $1.46 and $1.30, respectively.</w:t>
      </w:r>
    </w:p>
    <w:p>
      <w:pPr>
        <w:spacing w:after="0" w:line="108" w:lineRule="exact"/>
        <w:rPr>
          <w:sz w:val="20"/>
          <w:szCs w:val="20"/>
          <w:color w:val="auto"/>
        </w:rPr>
      </w:pPr>
    </w:p>
    <w:p>
      <w:pPr>
        <w:ind w:right="240" w:firstLine="432"/>
        <w:spacing w:after="0" w:line="276" w:lineRule="auto"/>
        <w:rPr>
          <w:sz w:val="20"/>
          <w:szCs w:val="20"/>
          <w:color w:val="auto"/>
        </w:rPr>
      </w:pPr>
      <w:r>
        <w:rPr>
          <w:rFonts w:ascii="Times New Roman" w:cs="Times New Roman" w:eastAsia="Times New Roman" w:hAnsi="Times New Roman"/>
          <w:sz w:val="17"/>
          <w:szCs w:val="17"/>
          <w:color w:val="auto"/>
        </w:rPr>
        <w:t>In December 2012, the Board of Directors authorized a $250 million share repurchase program, which commenced in the first quarter of 2013 and is expected to be completed by the end of 2014. Based on the total remaining amount of $109 million available under the repurchase program, approximately</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1.1 million shares, or 1.4% of shares outstanding (based on the market price and shares outstanding as of December 31, 2014) could be repurchased under the program as of December 31, 2014. The purchases will be made from time to time on the open market or through private transactions as market and business conditions warrant. Repurchased shares will be placed into treasury stock.</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9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661"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Credit Facility and Senior Notes</w:t>
      </w:r>
    </w:p>
    <w:p>
      <w:pPr>
        <w:spacing w:after="0" w:line="175"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We supplement short-term liquidity with access to capital markets, mainly through bank credit facilities and issuance of commercial paper. We did not issue commercial paper during 2014 and 2013.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9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In April 2014, we amended and restated our unsecured revolving credit facility, including to modify the available tranches, reduce the applicable margin on the interest rate on advances under the credit facility and extend the maturity date of the credit facility to April 2019.</w:t>
      </w:r>
    </w:p>
    <w:p>
      <w:pPr>
        <w:spacing w:after="0" w:line="27"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There are two tranches under the credit facility. The Tranche A facility is available in U.S. dollars, euros, Swiss francs, Japanese yen and British sterling in an aggregate amount up to an equivalent of $456.0 million, with a sublimit of $25.0 million for swing line borrowings. The Tranche B facility is available in euros, Swiss francs, Japanese yen and British sterling in an aggregate amount up to an equivalent of $494.0 million. The credit facility is available for general corporate purposes and may be extended for up to two additional one-year periods at the Company’s request, subject to the agreement of the lenders having commitments representing more than 50% of the aggregate commitments of all lenders under the credit facility. Borrowings under the credit facility bear interest at an annual rate of LIBOR plus a margin, currently 112.5 bps, linked to our credit rating. The interest rate under our credit facility at December 31, 2014 was 1.41%. The credit facility contains various affirmative and negative covenants, including the requirement for us to maintain, at the end of each fiscal quarter, a ratio of net debt for borrowed money to adjusted EBITDA in respect of the previous 12-month period of not more than 3.25 to 1. Based on this ratio, at December 31, 2014 our covenant compliance would provide overall borrowing capacity of $1,831.8 million.</w:t>
      </w:r>
    </w:p>
    <w:p>
      <w:pPr>
        <w:spacing w:after="0" w:line="13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On April 26, 2013, the Company repaid the full amount outstanding under the credit facility ($283.1 million). As of December 31, 2014 we had no borrowings under the credit facility. The amount which we are able to draw down on under the credit facility is limited by financial covenants as described in more detail below. Our drawdown capacity on the credit facility was $940.4 million at December 31, 2014. See Note 8 to the Consolidated Financial Statements for further information on the credit facility.</w:t>
      </w:r>
    </w:p>
    <w:p>
      <w:pPr>
        <w:spacing w:after="0" w:line="126" w:lineRule="exact"/>
        <w:rPr>
          <w:sz w:val="20"/>
          <w:szCs w:val="20"/>
          <w:color w:val="auto"/>
        </w:rPr>
      </w:pPr>
    </w:p>
    <w:p>
      <w:pPr>
        <w:ind w:right="60" w:firstLine="432"/>
        <w:spacing w:after="0"/>
        <w:rPr>
          <w:sz w:val="20"/>
          <w:szCs w:val="20"/>
          <w:color w:val="auto"/>
        </w:rPr>
      </w:pPr>
      <w:r>
        <w:rPr>
          <w:rFonts w:ascii="Times New Roman" w:cs="Times New Roman" w:eastAsia="Times New Roman" w:hAnsi="Times New Roman"/>
          <w:sz w:val="18"/>
          <w:szCs w:val="18"/>
          <w:color w:val="auto"/>
        </w:rPr>
        <w:t>At December 31, 2014 and 2013 we were in compliance with all financial and other covenants, including the net debt to adjusted EBITDA ratio. At December 31, 2014 our Net Debt/adjusted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ratio was 0.65 to 1 as defined by the credit facility,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420" w:right="120" w:hanging="412"/>
        <w:spacing w:after="0" w:line="254" w:lineRule="auto"/>
        <w:tabs>
          <w:tab w:leader="none" w:pos="42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 Months Ended</w:t>
            </w:r>
          </w:p>
        </w:tc>
        <w:tc>
          <w:tcPr>
            <w:tcW w:w="940" w:type="dxa"/>
            <w:vAlign w:val="bottom"/>
          </w:tcPr>
          <w:p>
            <w:pPr>
              <w:spacing w:after="0"/>
              <w:rPr>
                <w:sz w:val="13"/>
                <w:szCs w:val="13"/>
                <w:color w:val="auto"/>
              </w:rPr>
            </w:pPr>
          </w:p>
        </w:tc>
      </w:tr>
      <w:tr>
        <w:trPr>
          <w:trHeight w:val="195"/>
        </w:trPr>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414.5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i w:val="1"/>
                <w:iCs w:val="1"/>
                <w:color w:val="auto"/>
              </w:rPr>
              <w:t>353.5</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46.1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i w:val="1"/>
                <w:iCs w:val="1"/>
                <w:color w:val="auto"/>
              </w:rPr>
              <w:t>46.8</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i w:val="1"/>
                <w:iCs w:val="1"/>
                <w:color w:val="auto"/>
              </w:rPr>
              <w:t>131.7</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89.4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i w:val="1"/>
                <w:iCs w:val="1"/>
                <w:color w:val="auto"/>
              </w:rPr>
              <w:t>83.2</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Specified items</w:t>
            </w:r>
            <w:r>
              <w:rPr>
                <w:rFonts w:ascii="Times New Roman" w:cs="Times New Roman" w:eastAsia="Times New Roman" w:hAnsi="Times New Roman"/>
                <w:sz w:val="25"/>
                <w:szCs w:val="25"/>
                <w:b w:val="1"/>
                <w:bCs w:val="1"/>
                <w:i w:val="1"/>
                <w:iCs w:val="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1.3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i w:val="1"/>
                <w:iCs w:val="1"/>
                <w:color w:val="auto"/>
              </w:rPr>
              <w:t>2.2</w:t>
            </w:r>
          </w:p>
        </w:tc>
      </w:tr>
      <w:tr>
        <w:trPr>
          <w:trHeight w:val="270"/>
        </w:trPr>
        <w:tc>
          <w:tcPr>
            <w:tcW w:w="8340" w:type="dxa"/>
            <w:vAlign w:val="bottom"/>
            <w:tcBorders>
              <w:bottom w:val="single" w:sz="8" w:color="CCEEFF"/>
            </w:tcBorders>
            <w:gridSpan w:val="3"/>
          </w:tcPr>
          <w:p>
            <w:pPr>
              <w:ind w:left="4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Non-cash items</w:t>
            </w:r>
            <w:r>
              <w:rPr>
                <w:rFonts w:ascii="Times New Roman" w:cs="Times New Roman" w:eastAsia="Times New Roman" w:hAnsi="Times New Roman"/>
                <w:sz w:val="25"/>
                <w:szCs w:val="25"/>
                <w:b w:val="1"/>
                <w:bCs w:val="1"/>
                <w:i w:val="1"/>
                <w:iCs w:val="1"/>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18.9</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i w:val="1"/>
                <w:iCs w:val="1"/>
                <w:color w:val="auto"/>
              </w:rPr>
              <w:t>6.1</w:t>
            </w: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704.7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i w:val="1"/>
                <w:iCs w:val="1"/>
                <w:color w:val="auto"/>
              </w:rPr>
              <w:t>623.5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420" w:right="580" w:hanging="412"/>
        <w:spacing w:after="0" w:line="255" w:lineRule="auto"/>
        <w:tabs>
          <w:tab w:leader="none" w:pos="42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Specified items for the 12 months ended December 31, 2014 of $1.3 million consist of restructuring charges related to the Fragrance Ingredients Rationalization. Specified items for the 12 months ended December 31, 2013 of $2.2 million consist of restructuring charges related to the 2011 Strategic Initiative.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17" w:right="239" w:bottom="1440" w:gutter="0" w:footer="0" w:header="0"/>
        </w:sectPr>
      </w:pPr>
    </w:p>
    <w:bookmarkStart w:id="39" w:name="page40"/>
    <w:bookmarkEnd w:id="39"/>
    <w:p>
      <w:pPr>
        <w:ind w:left="420" w:right="20" w:hanging="412"/>
        <w:spacing w:after="0" w:line="267" w:lineRule="auto"/>
        <w:tabs>
          <w:tab w:leader="none" w:pos="42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Non-cash items, defined as part of Adjusted EBITDA in the terms of the Company’s New Facility agreement, represent all other adjustments to reconcile net income to net cash provided by operations as presented on the Statement of Cash Flows, including gain on disposal of assets, stock-based compensation and pension settlement/curtailment.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Total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i w:val="1"/>
                <w:iCs w:val="1"/>
                <w:color w:val="auto"/>
              </w:rPr>
              <w:t>942.3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i w:val="1"/>
                <w:iCs w:val="1"/>
                <w:color w:val="auto"/>
              </w:rPr>
              <w:t>932.8</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Deferred gain on interest rate swaps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(405.5)</w:t>
            </w:r>
          </w:p>
        </w:tc>
      </w:tr>
      <w:tr>
        <w:trPr>
          <w:trHeight w:val="27"/>
        </w:trPr>
        <w:tc>
          <w:tcPr>
            <w:tcW w:w="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Net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i w:val="1"/>
                <w:iCs w:val="1"/>
                <w:color w:val="auto"/>
              </w:rPr>
              <w:t>458.5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i w:val="1"/>
                <w:iCs w:val="1"/>
                <w:color w:val="auto"/>
              </w:rPr>
              <w:t>520.2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Senior Notes - 2013. In April 2013, we issued $300.0 million face amount of 3.20% Senior Notes (“Senior Notes - 2013”) due 2023 at a discount of $0.3 million, to take advantage of attractive borrowing rates and maintain efficiency and flexibility in our capital structure, and received proceeds of $297.8 million. The Senior Notes -2013 bear interest at a rate of 3.20% per year, with interest payable on May 1 and November 1 of each year, commencing on November 1, 2013. See Note 8 to the Consolidated Financial Statements for further information on the Senior Notes - 2013.</w:t>
      </w:r>
    </w:p>
    <w:p>
      <w:pPr>
        <w:spacing w:after="0" w:line="180"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Senior Notes - 2007. In September 2007, we issued an aggregate of $500.0 million of senior unsecured notes in four series, with $250.0 million due in 2017, $100.0 million due in 2019, $50 million due in 2022 and $100.0 million due in 2027. See Note 8 to the Consolidated Financial Statements for further information on the Senior Notes - 2007.</w:t>
      </w:r>
    </w:p>
    <w:p>
      <w:pPr>
        <w:spacing w:after="0" w:line="176"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Senior Notes - 2006. In 2006, we issued an aggregate of $375.0 million of senior unsecured notes in four series, of which $250.0 million has been repaid, and the remaining $125.0 million is due in 2016. See Note 8 to the Consolidated Financial Statements for further information on the Senior Notes - 2013.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75"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Compliance with existing governmental requirements regulating the discharge of materials into the environment has not materially affected our operations, earnings or competitive position. In 2014 and 2013, we spent $4.3 million and $1.7 million on capital projects and $19.2 million and $18.9 million, respectively, in operating expenses and governmental charges for the purpose of complying with such regulations. Expenditures for these purposes will continue for the foreseeable future. In addition, we are party to a number of proceedings brought under the Comprehensive Environmental Response, Compensation and Liability Act or similar state statutes. It is expected that the impact of any judgments in or voluntary settlements of such proceedings will not be material to our financial condition, results of operations or liquidity.</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31, 2014, we had contractual payment obligations due within the time periods as specified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40" w:type="dxa"/>
            <w:vAlign w:val="bottom"/>
          </w:tcPr>
          <w:p>
            <w:pPr>
              <w:spacing w:after="0"/>
              <w:rPr>
                <w:sz w:val="11"/>
                <w:szCs w:val="1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2016 - 2017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2018 - 2019</w:t>
            </w:r>
          </w:p>
        </w:tc>
        <w:tc>
          <w:tcPr>
            <w:tcW w:w="12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 and thereafter</w:t>
            </w:r>
          </w:p>
        </w:tc>
        <w:tc>
          <w:tcPr>
            <w:tcW w:w="0" w:type="dxa"/>
            <w:vAlign w:val="bottom"/>
          </w:tcPr>
          <w:p>
            <w:pPr>
              <w:spacing w:after="0"/>
              <w:rPr>
                <w:sz w:val="1"/>
                <w:szCs w:val="1"/>
                <w:color w:val="auto"/>
              </w:rPr>
            </w:pPr>
          </w:p>
        </w:tc>
      </w:tr>
      <w:tr>
        <w:trPr>
          <w:trHeight w:val="162"/>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2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Borrowings</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Interest on borrowings</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Pension funding obligations</w:t>
            </w:r>
            <w:r>
              <w:rPr>
                <w:rFonts w:ascii="Times New Roman" w:cs="Times New Roman" w:eastAsia="Times New Roman" w:hAnsi="Times New Roman"/>
                <w:sz w:val="25"/>
                <w:szCs w:val="25"/>
                <w:color w:val="auto"/>
                <w:vertAlign w:val="superscript"/>
              </w:rPr>
              <w:t>(3)</w:t>
            </w: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Postretirement obligations</w:t>
            </w:r>
            <w:r>
              <w:rPr>
                <w:rFonts w:ascii="Times New Roman" w:cs="Times New Roman" w:eastAsia="Times New Roman" w:hAnsi="Times New Roman"/>
                <w:sz w:val="25"/>
                <w:szCs w:val="25"/>
                <w:color w:val="auto"/>
                <w:vertAlign w:val="superscript"/>
              </w:rPr>
              <w:t>(4)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5"/>
                <w:szCs w:val="25"/>
                <w:color w:val="auto"/>
                <w:vertAlign w:val="superscript"/>
              </w:rPr>
              <w:t>(5)</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8 to the Consolidated Financial Statements for a further discussion of our various borrowing facilities.</w:t>
      </w:r>
    </w:p>
    <w:p>
      <w:pPr>
        <w:spacing w:after="0" w:line="9" w:lineRule="exact"/>
        <w:rPr>
          <w:rFonts w:ascii="Times New Roman" w:cs="Times New Roman" w:eastAsia="Times New Roman" w:hAnsi="Times New Roman"/>
          <w:sz w:val="18"/>
          <w:szCs w:val="18"/>
          <w:color w:val="auto"/>
        </w:rPr>
      </w:pPr>
    </w:p>
    <w:p>
      <w:pPr>
        <w:ind w:left="420" w:right="540" w:hanging="412"/>
        <w:spacing w:after="0" w:line="261"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include facility and other lease commitments executed in the normal course of the business, including sale leaseback obligations included in Note 7 of the Notes to the Consolidated Financial Statements. Further details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8" w:right="239" w:bottom="1440" w:gutter="0" w:footer="0" w:header="0"/>
        </w:sectPr>
      </w:pPr>
    </w:p>
    <w:bookmarkStart w:id="40" w:name="page41"/>
    <w:bookmarkEnd w:id="40"/>
    <w:p>
      <w:pPr>
        <w:ind w:left="420"/>
        <w:spacing w:after="0"/>
        <w:rPr>
          <w:sz w:val="20"/>
          <w:szCs w:val="20"/>
          <w:color w:val="auto"/>
        </w:rPr>
      </w:pPr>
      <w:r>
        <w:rPr>
          <w:rFonts w:ascii="Times New Roman" w:cs="Times New Roman" w:eastAsia="Times New Roman" w:hAnsi="Times New Roman"/>
          <w:sz w:val="18"/>
          <w:szCs w:val="18"/>
          <w:color w:val="auto"/>
        </w:rPr>
        <w:t>concerning worldwide aggregate operating leases are contained in Note 17 of the Notes to the Consolidated Financial Statements.</w:t>
      </w:r>
    </w:p>
    <w:p>
      <w:pPr>
        <w:spacing w:after="0" w:line="27" w:lineRule="exact"/>
        <w:rPr>
          <w:sz w:val="20"/>
          <w:szCs w:val="20"/>
          <w:color w:val="auto"/>
        </w:rPr>
      </w:pPr>
    </w:p>
    <w:p>
      <w:pPr>
        <w:ind w:left="420" w:right="360" w:hanging="412"/>
        <w:spacing w:after="0" w:line="258"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13 to the Consolidated Financial Statements for a further discussion of our retirement plans. Anticipated funding obligations are based on current actuarial assumptions. The projected contributions beyond fiscal year 2017 are not currently determinable.</w:t>
      </w:r>
    </w:p>
    <w:p>
      <w:pPr>
        <w:ind w:left="420" w:hanging="412"/>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expected future benefit payments for our postretirement benefit plans.</w:t>
      </w:r>
    </w:p>
    <w:p>
      <w:pPr>
        <w:spacing w:after="0" w:line="9" w:lineRule="exact"/>
        <w:rPr>
          <w:rFonts w:ascii="Times New Roman" w:cs="Times New Roman" w:eastAsia="Times New Roman" w:hAnsi="Times New Roman"/>
          <w:sz w:val="18"/>
          <w:szCs w:val="18"/>
          <w:color w:val="auto"/>
        </w:rPr>
      </w:pPr>
    </w:p>
    <w:p>
      <w:pPr>
        <w:ind w:left="420" w:right="340" w:hanging="412"/>
        <w:spacing w:after="0" w:line="261"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commitments include agreements for raw material procurement and contractual capital expenditures. Amounts for purchase commitments represent only those items which are based on agreements that are enforceable and legally binding.</w:t>
      </w:r>
    </w:p>
    <w:p>
      <w:pPr>
        <w:spacing w:after="0" w:line="12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table above does not include $23.1 million of the total unrecognized tax benefits for uncertain tax positions and approximately $2.2 million of associated accrued interest, of which $1.2 million is expected to be paid in the next 12 months. Due to the high degree of uncertainty regarding the timing of potential cash flows, the Company is unable to make a reasonable estimate of the amount and period in which the remaining liabilities might be paid.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94"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the Consolidated Financial Statements. As disclosed in Note 1, the preparation of financial statements in conformity with U.S. generally accepted accounting principles (“GAAP”) requires management to make estimates and assumptions that affect reported amounts and accompanying disclosures. These estimates are based on management’s best judgment of current events and actions that we may undertake in the future. Actual results may ultimately differ from estimates.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Those areas requiring the greatest degree of management judgment or deemed most critical to our financial reporting involve:</w:t>
      </w:r>
    </w:p>
    <w:p>
      <w:pPr>
        <w:spacing w:after="0" w:line="88" w:lineRule="exact"/>
        <w:rPr>
          <w:sz w:val="20"/>
          <w:szCs w:val="20"/>
          <w:color w:val="auto"/>
        </w:rPr>
      </w:pPr>
    </w:p>
    <w:p>
      <w:pPr>
        <w:ind w:right="180" w:firstLine="405"/>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The periodic assessment of potential impairment of intangible assets acquired in business combinations.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currently have net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goodwill, of $752.0 million. In assessing the potential for impairment of goodwill, management uses the most current actual and forecasted operating data available and current market based assumptions in accordance with the criteria in ASC 350. In 2012, the Company re-evaluated its reporting unit structure and identified three reporting units: (1) Flavors, (2) Fragrance Compounds and (3) Fragrance Ingredients. Prior to 2012, the Company had identified two reporting units, Flavors and Fragrances. As a result, in 2012 the Company reallocated the goodwill previously allocated to its Fragrances reporting unit to its Fragrance Compounds and Fragrance Ingredients reporting units.</w:t>
      </w:r>
    </w:p>
    <w:p>
      <w:pPr>
        <w:spacing w:after="0" w:line="50"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performed the annual goodwill impairment test, utilizing the two-step approach for the Flavors, Fragrance Compounds and Fragrance Ingredients reporting units, by assessing the fair value of our reporting units based on discounted cash flows. We completed our annual goodwill impairment test as of November 30, 2014, which indicated no impairment of goodwill, as the estimated fair values substantially exceeded the carrying values of each of these reporting units.</w:t>
      </w:r>
    </w:p>
    <w:p>
      <w:pPr>
        <w:spacing w:after="0" w:line="43"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The analysis and evaluation of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account for taxes under the asset and liability method. Under this method, deferred income taxes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for temporary differences between the financial statement and tax return bases of assets and liabilities. A valuation allowance is recognized if, based on the weight of available evidence, it is more likely than not that some portion or all of the deferred tax asset will not be realized. The assessment of the need for a valuation allowance requires management to make estimates and assumptions about future earnings, reversal of existing temporary differences and available tax planning strategies. If actual experience differs from these estimates and assumptions, the recorded deferred tax asset may not be fully realized resulting in an increase to income tax expense in our results of operations.</w:t>
      </w:r>
    </w:p>
    <w:p>
      <w:pPr>
        <w:spacing w:after="0" w:line="50"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has not established deferred tax liabilities for undistributed foreign earnings as it has plans to and intends to indefinitely reinvest those earnings to finance foreign activities. The unrecognized deferred tax liability on these undistributed earnings approximates $219 million.</w:t>
      </w:r>
    </w:p>
    <w:p>
      <w:pPr>
        <w:spacing w:after="0" w:line="2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Significant judgment is required in evaluating our uncertain tax positions and determining our provision for income taxes. We first determine whether it is “more likely than not” that we would sustain our tax position if the relevant tax authority were to audit the position with full knowledge of all the relevant facts and other information. For those tax positions that meet this threshold, we measure the amount of tax benefit based on the largest amount of tax benefit that we have a greater than 50% chance of realizing in a final settlement with the relevant authority. Those tax positions failing to qualify for initial recognition are recognized in the first interim period in which they meet the more likely than not standard. This evaluation is made at the time that we adopt a tax position and whenever there is new information and is based upon management’s evaluation of the facts, circumstances and information available at the reporting date. We maintain a cumulative risk portfolio relating to all of our uncertainties in income taxes in order to perform this analysis, but the evaluation of our tax positions requires significant judgment and estimation in part because, in certain cases, tax law is subject to varied interpretation, and whether a tax position will ultimately be sustained</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607" w:right="279" w:bottom="1440" w:gutter="0" w:footer="0" w:header="0"/>
        </w:sectPr>
      </w:pPr>
    </w:p>
    <w:bookmarkStart w:id="41" w:name="page42"/>
    <w:bookmarkEnd w:id="41"/>
    <w:p>
      <w:pPr>
        <w:ind w:right="160"/>
        <w:spacing w:after="0" w:line="282" w:lineRule="auto"/>
        <w:rPr>
          <w:sz w:val="20"/>
          <w:szCs w:val="20"/>
          <w:color w:val="auto"/>
        </w:rPr>
      </w:pPr>
      <w:r>
        <w:rPr>
          <w:rFonts w:ascii="Times New Roman" w:cs="Times New Roman" w:eastAsia="Times New Roman" w:hAnsi="Times New Roman"/>
          <w:sz w:val="18"/>
          <w:szCs w:val="18"/>
          <w:color w:val="auto"/>
        </w:rPr>
        <w:t>may be uncertain. We do not currently believe that any of our pending tax assessments, even if ultimately resolved against us, would have a material impact on our results of operations and cash flows.</w:t>
      </w:r>
    </w:p>
    <w:p>
      <w:pPr>
        <w:spacing w:after="0" w:line="25"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The evaluation of potential litigation and environmental liabilities, where changing circumstances, rules and regulations require regular reassessment of related practices and anticipated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subject to certain legal claims regarding products and other matters, as well as environmental-related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Significant management judgment is involved in determining when it is probable that a liability has been incurred and the extent to which it can be reasonably estimated.</w:t>
      </w:r>
    </w:p>
    <w:p>
      <w:pPr>
        <w:spacing w:after="0" w:line="4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regularly assess potential liabilities with respect to all legal claims based on the most recent available information, in consultation with outside counsel we have engaged on our behalf to handle the defense of such matters. To the extent a liability is considered to be probable and reasonably estimable, we recognize a corresponding liability; if the reasonably estimated liability is a range, we recognize that amount considered most likely, or in the absence of such a determination, the minimum reasonably estimated liability. To the extent such claims are covered by various insurance policies, we separately evaluate the right to recovery and estimate the related insurance claim receivable. Management judgments involve determination as to whether a liability has been incurred, the reasonably estimated amount of that liability, and any potential insurance recovery.</w:t>
      </w:r>
    </w:p>
    <w:p>
      <w:pPr>
        <w:spacing w:after="0" w:line="53"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We regularly evaluate potential environmental exposure in terms of total estimated cost and the viability of other potentially responsible parties (“PRP’s”) associated with our exposure. Recorded liabilities are adjusted periodically as remediation efforts progress and additional information becomes available. Critical management assumptions relate to expected total costs to remediate and the financial viability of PRP’s to share such costs.</w:t>
      </w:r>
    </w:p>
    <w:p>
      <w:pPr>
        <w:spacing w:after="0" w:line="39"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Determination of the various assumptions employed in the valuation of pension and retiree health care expense and associated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in the Consolidated Financial Statements related to pension and other postretirement benefits are determined from actuarial valuations. Inherent in such valuations are assumptions including expected return on plan assets, discount rates at which the liabilities could be settled, rates of increase in future compensation levels, mortality rates and health care cost trend rates. These assumptions are updated annually and are disclosed in Note 13 to the Consolidated Financial Statements. In accordance with GAAP, actual results that differ from the assumptions are accumulated and amortized over future periods and, therefore, affect expense recognized and obligations recorded in future periods.</w:t>
      </w:r>
    </w:p>
    <w:p>
      <w:pPr>
        <w:spacing w:after="0" w:line="5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consider a number of factors in determining and selecting assumptions for the overall expected long-term rate of return on plan assets. We consider the historical long-term return experience of our assets, the current and expected allocation of our plan assets, and expected long-term rates of return. We derive these expected long-term rates of return with the assistance of our investment advisors. We base our expected allocation of plan assets on a diversified portfolio consisting of domestic and international equity securities, fixed income, real estate, and alternative asset classes.</w:t>
      </w:r>
    </w:p>
    <w:p>
      <w:pPr>
        <w:spacing w:after="0" w:line="4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consider a variety of factors in determining and selecting our assumptions for the discount rate at December 31. For the U.S. plans, the discount rate was based on the internal rate of return for a portfolio of Moody’s Aaa, Aa and Merrill Lynch AAA-AA high quality bonds with maturities that are consistent with the projected future benefit payment obligations of the plan. The rate of compensation increase for all plans and the medical cost trend rate for the applicable U.S. plans are based on plan experience.</w:t>
      </w:r>
    </w:p>
    <w:p>
      <w:pPr>
        <w:spacing w:after="0" w:line="45"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With respect to the U.S. plans, the expected rate of return on plan assets was determined based on an asset allocation model using the current target allocation, real rates of return by asset class and an anticipated inflation rate. The target asset allocation consists of approximately: 40% in equity securities and 60% in fixed income securities. The plan has achieved a compounded annual rate of return of 8.0% over the previous 20 years. At December 31, 2014, the actual asset allocation was: 40% in equity securities; 59% in fixed income securities; and 1% in cash equivalents.</w:t>
      </w:r>
    </w:p>
    <w:p>
      <w:pPr>
        <w:spacing w:after="0" w:line="4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expected rate of return for the non-U.S. plans employs a similar set of criteria adapted for local investments, inflation rates and in certain cases specific government requirements. The target asset allocation, for the non-U.S. plans, consists of approximately: 40% – 60% in fixed income securities; 20%</w:t>
      </w:r>
    </w:p>
    <w:p>
      <w:pPr>
        <w:ind w:right="80"/>
        <w:spacing w:after="0" w:line="261" w:lineRule="auto"/>
        <w:rPr>
          <w:sz w:val="20"/>
          <w:szCs w:val="20"/>
          <w:color w:val="auto"/>
        </w:rPr>
      </w:pPr>
      <w:r>
        <w:rPr>
          <w:rFonts w:ascii="Times New Roman" w:cs="Times New Roman" w:eastAsia="Times New Roman" w:hAnsi="Times New Roman"/>
          <w:sz w:val="18"/>
          <w:szCs w:val="18"/>
          <w:color w:val="auto"/>
        </w:rPr>
        <w:t>– 40% in equity securities; 5% – 20% in real estate; and 5% – 10% in alternative investments. At December 31, 2014, the actual asset allocation was: 62% in fixed income investments; 26% in equity investments; 7% in real estate investments; 4% in alternative investments and 1% in cash and cash equivalents.</w:t>
      </w:r>
    </w:p>
    <w:p>
      <w:pPr>
        <w:spacing w:after="0" w:line="4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Changes in pension and other post-employment benefits, and associated expenses, may occur in the future due to changes in these assumptions. The impact that a 0.25% decrease in the discount rate or a 1% change in the medical cost trend rate would have on our pension and other post-employment benefit expense, as applicable, is as follows: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661"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9"/>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Sensitivity of Disclosures to Changes in Selected Assumptions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25 BP Decrease in</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25 BP Decrease in</w:t>
            </w:r>
          </w:p>
        </w:tc>
        <w:tc>
          <w:tcPr>
            <w:tcW w:w="260" w:type="dxa"/>
            <w:vAlign w:val="bottom"/>
          </w:tcPr>
          <w:p>
            <w:pPr>
              <w:spacing w:after="0"/>
              <w:rPr>
                <w:sz w:val="12"/>
                <w:szCs w:val="12"/>
                <w:color w:val="auto"/>
              </w:rPr>
            </w:pPr>
          </w:p>
        </w:tc>
        <w:tc>
          <w:tcPr>
            <w:tcW w:w="134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25 BP Decrease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Long-Term Rate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of Return</w:t>
            </w: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40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60" w:type="dxa"/>
            <w:vAlign w:val="bottom"/>
          </w:tcPr>
          <w:p>
            <w:pPr>
              <w:spacing w:after="0"/>
              <w:rPr>
                <w:sz w:val="12"/>
                <w:szCs w:val="12"/>
                <w:color w:val="auto"/>
              </w:rPr>
            </w:pPr>
          </w:p>
        </w:tc>
        <w:tc>
          <w:tcPr>
            <w:tcW w:w="134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60"/>
        </w:trPr>
        <w:tc>
          <w:tcPr>
            <w:tcW w:w="49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PBO</w:t>
            </w: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ABO</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pension expense</w:t>
            </w:r>
          </w:p>
        </w:tc>
        <w:tc>
          <w:tcPr>
            <w:tcW w:w="260" w:type="dxa"/>
            <w:vAlign w:val="bottom"/>
          </w:tcPr>
          <w:p>
            <w:pPr>
              <w:spacing w:after="0"/>
              <w:rPr>
                <w:sz w:val="13"/>
                <w:szCs w:val="13"/>
                <w:color w:val="auto"/>
              </w:rPr>
            </w:pPr>
          </w:p>
        </w:tc>
        <w:tc>
          <w:tcPr>
            <w:tcW w:w="1340" w:type="dxa"/>
            <w:vAlign w:val="bottom"/>
          </w:tcPr>
          <w:p>
            <w:pPr>
              <w:jc w:val="center"/>
              <w:ind w:right="181"/>
              <w:spacing w:after="0" w:line="160" w:lineRule="exact"/>
              <w:rPr>
                <w:sz w:val="20"/>
                <w:szCs w:val="20"/>
                <w:color w:val="auto"/>
              </w:rPr>
            </w:pPr>
            <w:r>
              <w:rPr>
                <w:rFonts w:ascii="Times New Roman" w:cs="Times New Roman" w:eastAsia="Times New Roman" w:hAnsi="Times New Roman"/>
                <w:sz w:val="14"/>
                <w:szCs w:val="14"/>
                <w:b w:val="1"/>
                <w:bCs w:val="1"/>
                <w:color w:val="auto"/>
              </w:rPr>
              <w:t>pension 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Pension Plans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19,983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Pension Plans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47,377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45,329</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Benefit Plan</w:t>
            </w: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effect of a 1% increase in the medical cost trend rate would increase the accumulated postretirement benefit obligation and the annual postretirement expense by approximately $6.9 million and $0.3 million, respectively; a 1% decrease in the rate would decrease the obligation and expense by approximately $6.7 million and $0.3 million, respectively.</w:t>
      </w:r>
    </w:p>
    <w:p>
      <w:pPr>
        <w:spacing w:after="0" w:line="39" w:lineRule="exact"/>
        <w:rPr>
          <w:sz w:val="20"/>
          <w:szCs w:val="20"/>
          <w:color w:val="auto"/>
        </w:rPr>
      </w:pPr>
    </w:p>
    <w:p>
      <w:pPr>
        <w:ind w:right="180" w:firstLine="405"/>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The ongoing assessment of the valuation of inventory, given the large number of natural ingredients employed, the quality of which may be diminished over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hold a majority of our inventory as raw materials, providing the greatest degree of flexibility in manufacture and use.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we maintained 48% of our inventory as raw materials. Materials are evaluated based on shelf life, known uses and anticipated demand based on forecasted customer order activity and changes in product/sales mix. Management policy provides for an ongoing assessment of inventory with adjustments recorded when an item is deemed to be slow moving or obsolete.</w:t>
      </w:r>
    </w:p>
    <w:p>
      <w:pPr>
        <w:spacing w:after="0" w:line="128"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We believe that we have considered relevant circumstances that we may be currently subject to, and the financial statements accurately reflect our best estimate of the impact of these items in our results of operations, financial condition and cash flows for the years presented. We have discussed the decision process and selection of these critical accounting policies with the Audit Committee of the Board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March 2013, the Financial Accounting Standards Board (“FASB”) issued authoritative guidance clarifying the accounting for the release of cumulative translation adjustments into net income when a parent either sells a part or all of its investment in a foreign entity or no longer holds a controlling financial interest in a subsidiary or group of assets that is a nonprofit activity or a business within a foreign entity. The guidance was effective prospectively for reporting periods beginning after December 15, 2013. The adoption of this statement did not have an impact on our financial position, results of operations or cash flows.</w:t>
      </w:r>
    </w:p>
    <w:p>
      <w:pPr>
        <w:spacing w:after="0" w:line="130"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July 2013, the FASB issued authoritative guidance related to the financial statement presentation of unrecognized tax benefits. This update clarifies that an unrecognized tax benefit, or a portion of an unrecognized tax benefit, should be presented in the financial statements as a reduction to a deferred tax asset for a net operating loss carryforward, a similar tax loss, or a tax credit carryforward, except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In such situations, the unrecognized tax benefit should be presented in the financial statements as a liability and should not be combined with deferred tax assets. The guidance was effective prospectively for reporting periods beginning after December 15, 2013. The adoption of this statement did not have a significant impact on our financial position, results of operations or cash flows.</w:t>
      </w:r>
    </w:p>
    <w:p>
      <w:pPr>
        <w:spacing w:after="0" w:line="131"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In May 2014, the FASB issued authoritative guidance to clarify the principles to be used to recognize revenue. The guidance is applicable to all entities and is effective for annual and interim periods beginning after December 15, 2016. Early adoption is not permitted. The Company is currently evaluating the impact that this new standard will have on its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Company uses non-GAAP financial operating measures in this Annual Report, including: (i) local currency sales (which eliminates the effects that result from translating its international sales in U.S. dollars), (ii) like-for-like sales (which eliminated the effects of local currency and the strategic decision to exit certain low margin sales in 2013), (iii) adjusted operating profit and operating profit margin (which excludes the operational improvement initiative and restructuring charges), (iv) adjusted effective tax rate (which excludes the sale of a non-operating assets, tax and litigation settlements, restructuring charges and operational improvement initiative costs) and (v) adjusted cash flows from operations (which excludes the Spanish tax payments made and the year-over-year incremental pension contribution). The Company also provides the non-GAAP measures adjusted EBITDA (which excludes certain specified items and non-cash items as set forth in the Company’s debt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817" w:right="239" w:bottom="1440" w:gutter="0" w:footer="0" w:header="0"/>
        </w:sectPr>
      </w:pPr>
    </w:p>
    <w:bookmarkStart w:id="43" w:name="page44"/>
    <w:bookmarkEnd w:id="43"/>
    <w:p>
      <w:pPr>
        <w:ind w:right="560"/>
        <w:spacing w:after="0" w:line="282" w:lineRule="auto"/>
        <w:rPr>
          <w:sz w:val="20"/>
          <w:szCs w:val="20"/>
          <w:color w:val="auto"/>
        </w:rPr>
      </w:pPr>
      <w:r>
        <w:rPr>
          <w:rFonts w:ascii="Times New Roman" w:cs="Times New Roman" w:eastAsia="Times New Roman" w:hAnsi="Times New Roman"/>
          <w:sz w:val="18"/>
          <w:szCs w:val="18"/>
          <w:color w:val="auto"/>
        </w:rPr>
        <w:t>agreements) and net debt (which is adjusted for deferred gain on interest rate swaps and cash and cash equivalents) solely for the purpose of providing information regarding the Company's compliance with debt covenants contained in its debt agreements.</w:t>
      </w:r>
    </w:p>
    <w:p>
      <w:pPr>
        <w:spacing w:after="0" w:line="10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and the exit of certain low margin sales activities on operating results and financial condition.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for example, costs associated with operational improvements and restructuring activities involve actual cash outlays. We compensate for such limitations by using these measures as one of several metrics, including GAAP measures. These non-GAAP measures may not be comparable to similarly titled measures used by other companies.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Like-for-Like Flavors Sales Reconciliation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Twelve Months Ended December 31, 2013</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1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Local</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Exit of Low</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Like-for-</w:t>
            </w: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Margin Sales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ind w:right="356"/>
              <w:spacing w:after="0" w:line="149" w:lineRule="exact"/>
              <w:rPr>
                <w:sz w:val="20"/>
                <w:szCs w:val="20"/>
                <w:color w:val="auto"/>
              </w:rPr>
            </w:pPr>
            <w:r>
              <w:rPr>
                <w:rFonts w:ascii="Times New Roman" w:cs="Times New Roman" w:eastAsia="Times New Roman" w:hAnsi="Times New Roman"/>
                <w:sz w:val="14"/>
                <w:szCs w:val="14"/>
                <w:b w:val="1"/>
                <w:bCs w:val="1"/>
                <w:color w:val="auto"/>
              </w:rPr>
              <w:t>Like Sales</w:t>
            </w:r>
          </w:p>
        </w:tc>
      </w:tr>
      <w:tr>
        <w:trPr>
          <w:trHeight w:val="195"/>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1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Growth</w:t>
            </w:r>
            <w:r>
              <w:rPr>
                <w:rFonts w:ascii="Times New Roman" w:cs="Times New Roman" w:eastAsia="Times New Roman" w:hAnsi="Times New Roman"/>
                <w:sz w:val="12"/>
                <w:szCs w:val="12"/>
                <w:b w:val="1"/>
                <w:bCs w:val="1"/>
                <w:color w:val="auto"/>
              </w:rPr>
              <w:t>(1)</w:t>
            </w:r>
          </w:p>
        </w:tc>
        <w:tc>
          <w:tcPr>
            <w:tcW w:w="12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8"/>
                <w:szCs w:val="8"/>
                <w:b w:val="1"/>
                <w:bCs w:val="1"/>
                <w:color w:val="auto"/>
              </w:rPr>
              <w:t>(2)</w:t>
            </w:r>
          </w:p>
        </w:tc>
      </w:tr>
      <w:tr>
        <w:trPr>
          <w:trHeight w:val="249"/>
        </w:trPr>
        <w:tc>
          <w:tcPr>
            <w:tcW w:w="40" w:type="dxa"/>
            <w:vAlign w:val="bottom"/>
          </w:tcPr>
          <w:p>
            <w:pPr>
              <w:spacing w:after="0"/>
              <w:rPr>
                <w:sz w:val="21"/>
                <w:szCs w:val="21"/>
                <w:color w:val="auto"/>
              </w:rPr>
            </w:pPr>
          </w:p>
        </w:tc>
        <w:tc>
          <w:tcPr>
            <w:tcW w:w="48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3"/>
        </w:trPr>
        <w:tc>
          <w:tcPr>
            <w:tcW w:w="40" w:type="dxa"/>
            <w:vAlign w:val="bottom"/>
          </w:tcPr>
          <w:p>
            <w:pPr>
              <w:spacing w:after="0"/>
              <w:rPr>
                <w:sz w:val="17"/>
                <w:szCs w:val="17"/>
                <w:color w:val="auto"/>
              </w:rPr>
            </w:pPr>
          </w:p>
        </w:tc>
        <w:tc>
          <w:tcPr>
            <w:tcW w:w="600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auto"/>
              </w:rPr>
              <w:t>Flavors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40" w:type="dxa"/>
            <w:vAlign w:val="bottom"/>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0" w:type="dxa"/>
            <w:vAlign w:val="bottom"/>
          </w:tcPr>
          <w:p>
            <w:pPr>
              <w:spacing w:after="0"/>
              <w:rPr>
                <w:sz w:val="21"/>
                <w:szCs w:val="21"/>
                <w:color w:val="auto"/>
              </w:rPr>
            </w:pPr>
          </w:p>
        </w:tc>
        <w:tc>
          <w:tcPr>
            <w:tcW w:w="6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EAME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0" w:type="dxa"/>
            <w:vAlign w:val="bottom"/>
          </w:tcPr>
          <w:p>
            <w:pPr>
              <w:spacing w:after="0"/>
              <w:rPr>
                <w:sz w:val="21"/>
                <w:szCs w:val="21"/>
                <w:color w:val="auto"/>
              </w:rPr>
            </w:pPr>
          </w:p>
        </w:tc>
        <w:tc>
          <w:tcPr>
            <w:tcW w:w="6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Greater Asia</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4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ind w:left="420" w:hanging="412"/>
        <w:spacing w:after="0"/>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currency sales growth is calculated by translating prior year sales at the exchange rates used for the corresponding 2013 period.</w:t>
      </w:r>
    </w:p>
    <w:p>
      <w:pPr>
        <w:spacing w:after="0" w:line="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Like-for-like is a non-GAAP metric that excludes the impact of exiting low margin sales activities and foreign exchange.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Statements in this Annual Report, which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our ability to achieve long-term sustainable growth and increase shareholder value, (ii) growth potential in the emerging markets, (iii) our ability to generate returns above cost of capital, (iv) our competitive position in the market and expected financial results in 2015, and (v) expected capital expenditures and cost pressures in 2015. These forward-looking statements should be evaluated with consideration given to the many risks and uncertainties inherent in the Company’s business that could cause actual results and events to differ materially from those in the forward-looking statements. Certain of such forward-looking information may be identified by such terms as “expect”, “anticipate”, “believe”, “outlook”, “may”, “estimate”, “should”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Actual results of the Company may differ materially from any future results expressed or implied by such forward-looking statements. Such factors include, among others, the following:</w:t>
      </w:r>
    </w:p>
    <w:p>
      <w:pPr>
        <w:spacing w:after="0" w:line="58" w:lineRule="exact"/>
        <w:rPr>
          <w:sz w:val="20"/>
          <w:szCs w:val="20"/>
          <w:color w:val="auto"/>
        </w:rPr>
      </w:pPr>
    </w:p>
    <w:p>
      <w:pPr>
        <w:ind w:left="740" w:hanging="327"/>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increases in the price of raw materials, energy and transportation;</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political risks associated with the Company's international operations;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661" w:right="259" w:bottom="1440" w:gutter="0" w:footer="0" w:header="0"/>
        </w:sectPr>
      </w:pPr>
    </w:p>
    <w:bookmarkStart w:id="44" w:name="page45"/>
    <w:bookmarkEnd w:id="44"/>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benefit from its investments and expansion in emerging markets;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quality and availability of raw materials;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demand for the Company's products or decline in consumer confidence and spending;</w:t>
      </w:r>
    </w:p>
    <w:p>
      <w:pPr>
        <w:spacing w:after="0" w:line="90"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implement its business strategy, including the achievement of anticipated cost savings, profitability, realization of price increases and growth targets;</w:t>
      </w:r>
    </w:p>
    <w:p>
      <w:pPr>
        <w:spacing w:after="0" w:line="2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develop new and competitive products that appeal to its customers and consumers;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disruption in the Company’s supply chain or its relationship with its suppliers;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inventory and working capital;</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unanticipated costs and construction or start-up delays in the expansion of any of the Company’s facilities;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 or devaluations in the Company’s principal foreign markets;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impact on the availability, effectiveness and cost of the Company’s hedging and risk management strategies;</w:t>
      </w:r>
    </w:p>
    <w:p>
      <w:pPr>
        <w:spacing w:after="0" w:line="90" w:lineRule="exact"/>
        <w:rPr>
          <w:rFonts w:ascii="Times New Roman" w:cs="Times New Roman" w:eastAsia="Times New Roman" w:hAnsi="Times New Roman"/>
          <w:sz w:val="18"/>
          <w:szCs w:val="18"/>
          <w:color w:val="auto"/>
        </w:rPr>
      </w:pPr>
    </w:p>
    <w:p>
      <w:pPr>
        <w:ind w:left="740" w:right="100" w:hanging="327"/>
        <w:spacing w:after="0" w:line="282"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outcome of, or funding requirements, related to litigation or settlement of pending litigation, uncertain tax positions or other contingencies;</w:t>
      </w:r>
    </w:p>
    <w:p>
      <w:pPr>
        <w:spacing w:after="0" w:line="26"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possible pension funding obligations and increased pension expense, particularly as a result of changes in asset returns or discount rates, on the Company’s cash flow and results of operations;</w:t>
      </w:r>
    </w:p>
    <w:p>
      <w:pPr>
        <w:spacing w:after="0" w:line="22"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optimize its manufacturing facilities, including the achievement of expected cost savings and increased efficiencies</w:t>
      </w:r>
      <w:r>
        <w:rPr>
          <w:rFonts w:ascii="Times New Roman" w:cs="Times New Roman" w:eastAsia="Times New Roman" w:hAnsi="Times New Roman"/>
          <w:sz w:val="19"/>
          <w:szCs w:val="19"/>
          <w:color w:val="auto"/>
        </w:rPr>
        <w:t>;</w:t>
      </w:r>
    </w:p>
    <w:p>
      <w:pPr>
        <w:spacing w:after="0" w:line="96" w:lineRule="exact"/>
        <w:rPr>
          <w:rFonts w:ascii="Times New Roman" w:cs="Times New Roman" w:eastAsia="Times New Roman" w:hAnsi="Times New Roman"/>
          <w:sz w:val="18"/>
          <w:szCs w:val="18"/>
          <w:color w:val="auto"/>
        </w:rPr>
      </w:pPr>
    </w:p>
    <w:p>
      <w:pPr>
        <w:ind w:left="740" w:right="320" w:hanging="327"/>
        <w:spacing w:after="0" w:line="282"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and regulatory proceedings, as well as restrictions imposed on the Company, its operations or its representatives by U.S. and foreign governments;</w:t>
      </w:r>
    </w:p>
    <w:p>
      <w:pPr>
        <w:spacing w:after="0" w:line="2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federal, state, local and foreign tax legislation or adverse results of tax audits, assessments, or disputes;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attract and retain talented employees;</w:t>
      </w:r>
    </w:p>
    <w:p>
      <w:pPr>
        <w:spacing w:after="0" w:line="90"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costs and other financial impact that may result from any business disruptions due to political instability, armed hostilities, incidents of terrorism, natural disasters, or the responses to or repercussion from any of these or similar events or conditions;</w:t>
      </w:r>
    </w:p>
    <w:p>
      <w:pPr>
        <w:spacing w:after="0" w:line="2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quickly and effectively implement its disaster recovery and crisis management plans; and</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due to accounting rules or regulations.</w:t>
      </w:r>
    </w:p>
    <w:p>
      <w:pPr>
        <w:spacing w:after="0" w:line="171"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The foregoing list of important factors does not include all such factors, nor necessarily present them in order of importance. In addition, you should consult other disclosures made by the Company (such as in our other filings with the Securities and Exchange Commission (“SEC”) or in company press releases) for other factors that may cause actual results to differ materially from those projected by the Company. Please refer to Part I. Item 1A., Risk Factors, of this 2014 Form 10-K for additional information regarding factors that could affect the Company’s results of operations, financial condition and liquidity.</w:t>
      </w:r>
    </w:p>
    <w:p>
      <w:pPr>
        <w:spacing w:after="0" w:line="13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 intends its forward-looking statements to speak only as of the time of such statements and does not undertake or plan to update or revise them as more information becomes available or to reflect changes in expectations, assumptions or results. The Company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spacing w:after="0" w:line="130"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Any public statements or disclosures by IFF following this report that modify or impact any of the forward-looking statements contained in or accompanying this report will be deemed to modify or supersede such outlook or other forward-looking statements in or accompanying this report.</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20"/>
          </w:cols>
          <w:pgMar w:left="240" w:top="6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operate on a global basis and are exposed to currency fluctuation related to the manufacture and sale of our products in currencies other than the U.S. dollar. The major foreign currencies involve the markets in the European Union, Great Britain, Mexico, Brazil, China, India, Indonesia, Australia and Japan, although all regions are subject to foreign currency fluctuations versus the U.S. dollar. We actively monitor our foreign currency exposures in all major markets in which we operate, and employ a variety of techniques to mitigate the impact of exchange rate fluctuations, including foreign currency hedging activities.</w:t>
      </w:r>
    </w:p>
    <w:p>
      <w:pPr>
        <w:spacing w:after="0" w:line="13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have established a centralized reporting system to evaluate the effects of changes in interest rates, currency exchange rates and other relevant market risks. Our risk management procedures include the monitoring of interest rate and foreign exchange exposures and hedge positions utilizing statistical analyses of cash flows, market value and sensitivity analysis. However, the use of these techniques to quantify the market risk of such instruments should not be construed as an endorsement of their accuracy or the accuracy of the related assumptions. For the year ended December 31, 2014, the Company’s exposure to market risk was estimated using sensitivity analyses, which illustrate the change in the fair value of a derivative financial instrument assuming hypothetical changes in foreign exchange rates and interest rates.</w:t>
      </w:r>
    </w:p>
    <w:p>
      <w:pPr>
        <w:spacing w:after="0" w:line="13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We enter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twelve months. The gain or loss on the hedging instrument and services is recorded in earnings at the same time as the transaction being hedged is recorded in earnings. At December 31, 2014, the Company’s foreign currency exposures pertaining to derivative contracts exist with the Euro, Japanese Yen, South African Rand, and Chinese Renminbi. Based on a hypothetical decrease or increase of 10% in the applicable balance sheet exchange rates (primarily against the U.S. dollar), the estimated fair value of the Company’s foreign currency forward contracts would increase or decrease by approximately $25 million. However, any change in the value of the contracts, real or hypothetical, would be significantly offset by a corresponding change in the value of the underlying hedged items.</w:t>
      </w:r>
    </w:p>
    <w:p>
      <w:pPr>
        <w:spacing w:after="0" w:line="13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have also used non-U.S. dollar borrowings and foreign currency forward contracts, to hedge the foreign currency exposures of our net investment in certain foreign subsidiaries, primarily in the European Union. Based on a hypothetical decrease or increase of 10% in the value of the U.S. dollar against the Euro, the estimated fair value of the Company’s foreign currency forward contracts would change by approximately $4 million. However, any change in the value of the contracts, real or hypothetical, would be significantly offset by a corresponding change in the value of the underlying hedged items.</w:t>
      </w:r>
    </w:p>
    <w:p>
      <w:pPr>
        <w:spacing w:after="0" w:line="12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use derivative instruments as part of our interest rate risk management strategy. The derivative instruments used are comprised principally of fixed to variable rate interest rate swaps based on the LIBOR plus an interest mark up. The notional amount, interest payment and maturity date of the swaps match the principal, interest payment and maturity date of the related debt and the swaps are valued using observable benchmark rates. Based on a hypothetical decrease or increase of one percentage point in LIBOR, the estimated fair value of the Company’s interest rate swaps would change by less than $10 million.</w:t>
      </w:r>
    </w:p>
    <w:p>
      <w:pPr>
        <w:spacing w:after="0" w:line="126"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At December 31, 2014, the fair value of our fixed rate debt was $1 billion. Based on a hypothetical decrease of 10% in interest rates, the estimated fair value of the Company’s fixed debt would increase by $8 million.</w:t>
      </w:r>
    </w:p>
    <w:p>
      <w:pPr>
        <w:spacing w:after="0" w:line="108"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purchase certain commodities, such as natural gas, electricity, petroleum based products and certain crop related items. We generally purchase these commodities based upon market prices that are established with the vendor as part of the purchase process. In general, we do not use commodity financial instruments to hedge commodity prices.</w:t>
      </w:r>
    </w:p>
    <w:p>
      <w:pPr>
        <w:spacing w:after="0" w:line="30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index to Consolidated Financial Statements on page 49. See Item 6 on page 24 for supplemental quarterly data.</w:t>
      </w:r>
    </w:p>
    <w:p>
      <w:pPr>
        <w:spacing w:after="0" w:line="35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792" w:right="239" w:bottom="1440" w:gutter="0" w:footer="0" w:header="0"/>
        </w:sectPr>
      </w:pPr>
    </w:p>
    <w:bookmarkStart w:id="46" w:name="page47"/>
    <w:bookmarkEnd w:id="46"/>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 and Changes in Internal Control over Financial Reporting.</w:t>
      </w:r>
    </w:p>
    <w:p>
      <w:pPr>
        <w:spacing w:after="0" w:line="9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with the assistance of other members of our management, have evaluated the effectiveness of our disclosure controls and procedures as of the end of the period covered by this Annual Report on Form 10-K. Based on such evaluation, our Chief Executive Officer and Chief Financial Officer have concluded that our disclosure controls and procedures are effective as of the end of the period covered by this Annual Report on Form 10-K.</w:t>
      </w:r>
    </w:p>
    <w:p>
      <w:pPr>
        <w:spacing w:after="0" w:line="12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have established controls and procedures designed to ensure that information required to be disclosed in the reports that we file or submit under the Exchange Act is recorded, processed, summarized and reported within the time periods specified in the Commission’s rules and forms and is accumulated and communicated to management, including the principal executive officer and the principal financial officer, to allow timely decisions regarding required disclosure.</w:t>
      </w:r>
    </w:p>
    <w:p>
      <w:pPr>
        <w:spacing w:after="0" w:line="126" w:lineRule="exact"/>
        <w:rPr>
          <w:sz w:val="20"/>
          <w:szCs w:val="20"/>
          <w:color w:val="auto"/>
        </w:rPr>
      </w:pPr>
    </w:p>
    <w:p>
      <w:pPr>
        <w:jc w:val="both"/>
        <w:ind w:right="380" w:firstLine="432"/>
        <w:spacing w:after="0" w:line="313" w:lineRule="auto"/>
        <w:rPr>
          <w:sz w:val="20"/>
          <w:szCs w:val="20"/>
          <w:color w:val="auto"/>
        </w:rPr>
      </w:pPr>
      <w:r>
        <w:rPr>
          <w:rFonts w:ascii="Times New Roman" w:cs="Times New Roman" w:eastAsia="Times New Roman" w:hAnsi="Times New Roman"/>
          <w:sz w:val="17"/>
          <w:szCs w:val="17"/>
          <w:color w:val="auto"/>
        </w:rPr>
        <w:t>Our Chief Executive Officer and Chief Financial Officer have concluded that there have not been any changes in our internal control over financial reporting during the fourth quarter that have materially affected, or are reasonably likely to materially affect, our internal control over financial reporting.</w:t>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94"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December 31, 2014. In making this assessment, management used the criteria set forth by the Committee of Sponsoring Organizations of the Treadway Commission (“COSO”) in its 2013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this assessment, management determined that, as of December 31, 2014, our internal control over financial reporting was effective.</w:t>
      </w:r>
    </w:p>
    <w:p>
      <w:pPr>
        <w:spacing w:after="0" w:line="171"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PricewaterhouseCoopers LLP, our independent registered public accounting firm, has audited the effectiveness of our internal control over financial reporting as of December 31, 2014 as stated in their report which is included herein.</w:t>
      </w:r>
    </w:p>
    <w:p>
      <w:pPr>
        <w:spacing w:after="0" w:line="200" w:lineRule="exact"/>
        <w:rPr>
          <w:sz w:val="20"/>
          <w:szCs w:val="20"/>
          <w:color w:val="auto"/>
        </w:rPr>
      </w:pPr>
    </w:p>
    <w:p>
      <w:pPr>
        <w:spacing w:after="0" w:line="20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information relating to directors and nominees of the Company is set forth in the IFF 2015 Proxy Statement and is incorporated by reference herein. The information relating to Section 16(a) beneficial ownership reporting compliance that appears in the IFF 2015 Proxy Statement is also incorporated by reference herein. See Part I, Item 1 of this Form 10-K for information relating to the Company’s Executive Officers.</w:t>
      </w:r>
    </w:p>
    <w:p>
      <w:pPr>
        <w:spacing w:after="0" w:line="12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(the “Code of Ethics”) that applies to all of our employees, including our chief executive officer and our chief financial officer (who is also our principal accounting officer). We have also adopted a Code of Conduct for Directors and a Code of Conduct for Executive Officers (together with the Code of Ethics, the “Codes”). The Codes are available through the Investors — Corporate Governance link on our website </w:t>
      </w:r>
      <w:r>
        <w:rPr>
          <w:rFonts w:ascii="Times New Roman" w:cs="Times New Roman" w:eastAsia="Times New Roman" w:hAnsi="Times New Roman"/>
          <w:sz w:val="18"/>
          <w:szCs w:val="18"/>
          <w:i w:val="1"/>
          <w:iCs w:val="1"/>
          <w:color w:val="auto"/>
        </w:rPr>
        <w:t>www.iff.com</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Only the Board of Directors or the Audit Committee of the Board may grant a waiver from any provision of our Codes in favor of a director or executive officer, and any such waiver will be publicly disclosed. We will disclose substantive amendments to and any waivers from the Codes provided to our chief executive officer and principal financial officer (principal accounting officer), as well as any other executive officer or director, on the Company’s website: </w:t>
      </w:r>
      <w:r>
        <w:rPr>
          <w:rFonts w:ascii="Times New Roman" w:cs="Times New Roman" w:eastAsia="Times New Roman" w:hAnsi="Times New Roman"/>
          <w:sz w:val="18"/>
          <w:szCs w:val="18"/>
          <w:i w:val="1"/>
          <w:iCs w:val="1"/>
          <w:color w:val="auto"/>
        </w:rPr>
        <w:t>www.iff.com</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regarding the Company’s Audit Committee and its designated audit committee financial experts is set forth in the IFF 2015 Proxy Statement and such information is incorporated by reference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738" w:right="239" w:bottom="1440" w:gutter="0" w:footer="0" w:header="0"/>
        </w:sectPr>
      </w:pPr>
    </w:p>
    <w:bookmarkStart w:id="47" w:name="page48"/>
    <w:bookmarkEnd w:id="47"/>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information concerning procedures by which shareholders may recommend director nominees is set forth in the IFF 2015 Proxy Statement and such information is incorporated by reference herein.</w:t>
      </w:r>
    </w:p>
    <w:p>
      <w:pPr>
        <w:spacing w:after="0" w:line="293"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information relating to executive compensation and the Company’s policies and practices as they relate to the Company’s risk management is set forth in the IFF 2015 Proxy Statement and such information is incorporated by reference herein; except that the information under the caption “Compensation Committee Report” shall be deemed “furnished” with this report and shall not be deemed “filed” with this report, not deemed incorporated by reference into any filing under the Securities Act of 1933 except only as may be expressly set forth in any such filing by specific reference.</w:t>
      </w:r>
    </w:p>
    <w:p>
      <w:pPr>
        <w:spacing w:after="0" w:line="311" w:lineRule="exact"/>
        <w:rPr>
          <w:sz w:val="20"/>
          <w:szCs w:val="20"/>
          <w:color w:val="auto"/>
        </w:rPr>
      </w:pPr>
    </w:p>
    <w:p>
      <w:pPr>
        <w:ind w:left="1420" w:right="80" w:hanging="1377"/>
        <w:spacing w:after="0" w:line="28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relating to security ownership of management, certain beneficial owners and the Company’s equity plans is set forth in the IFF 2015 Proxy Statement and such information is incorporated by reference herein.</w:t>
      </w:r>
    </w:p>
    <w:p>
      <w:pPr>
        <w:spacing w:after="0" w:line="293"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regarding certain relationships and related party transactions and director independence is set forth in the IFF 2015 Proxy Statement and such information is incorporated by reference herein.</w:t>
      </w:r>
    </w:p>
    <w:p>
      <w:pPr>
        <w:spacing w:after="0" w:line="293"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The information regarding the independent registered public accounting firm (“independent accountant”) fees and services and the Company’s pre-approval policies and procedures for audit and non-audit services provided by the Company’s independent accountant are set forth in the IFF 2015 Proxy Statement and such information is incorporated by reference herein.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742"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40" w:type="dxa"/>
            <w:vAlign w:val="bottom"/>
            <w:gridSpan w:val="4"/>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1002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40" w:type="dxa"/>
            <w:vAlign w:val="bottom"/>
          </w:tcPr>
          <w:p>
            <w:pPr>
              <w:spacing w:after="0"/>
              <w:rPr>
                <w:sz w:val="24"/>
                <w:szCs w:val="24"/>
                <w:color w:val="auto"/>
              </w:rPr>
            </w:pPr>
          </w:p>
        </w:tc>
        <w:tc>
          <w:tcPr>
            <w:tcW w:w="11020" w:type="dxa"/>
            <w:vAlign w:val="bottom"/>
            <w:gridSpan w:val="9"/>
          </w:tcPr>
          <w:p>
            <w:pPr>
              <w:jc w:val="center"/>
              <w:ind w:left="210"/>
              <w:spacing w:after="0"/>
              <w:rPr>
                <w:sz w:val="20"/>
                <w:szCs w:val="20"/>
                <w:color w:val="auto"/>
              </w:rPr>
            </w:pPr>
            <w:r>
              <w:rPr>
                <w:rFonts w:ascii="Times New Roman" w:cs="Times New Roman" w:eastAsia="Times New Roman" w:hAnsi="Times New Roman"/>
                <w:sz w:val="18"/>
                <w:szCs w:val="18"/>
                <w:color w:val="auto"/>
                <w:w w:val="99"/>
              </w:rPr>
              <w:t>(a)(1) FINANCIAL STATEMENTS: The following consolidated financial statements, related notes, and independent registered public accounting</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firm’s report are included in this report on Form 10-K: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31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1060" w:type="dxa"/>
            <w:vAlign w:val="bottom"/>
            <w:gridSpan w:val="10"/>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Report of Independent Registered Public Accounting Firm</w:t>
              </w:r>
            </w:hyperlink>
          </w:p>
        </w:tc>
        <w:tc>
          <w:tcPr>
            <w:tcW w:w="36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50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1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060" w:type="dxa"/>
            <w:vAlign w:val="bottom"/>
            <w:gridSpan w:val="10"/>
          </w:tcPr>
          <w:p>
            <w:pPr>
              <w:ind w:left="4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Consolidated Statement of Income and Comprehensive Income for the three years ended December 31, 2014, 2013 and 2012</w:t>
              </w:r>
            </w:hyperlink>
          </w:p>
        </w:tc>
        <w:tc>
          <w:tcPr>
            <w:tcW w:w="36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51</w:t>
              </w:r>
            </w:hyperlink>
          </w:p>
        </w:tc>
      </w:tr>
      <w:tr>
        <w:trPr>
          <w:trHeight w:val="48"/>
        </w:trPr>
        <w:tc>
          <w:tcPr>
            <w:tcW w:w="4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660" w:type="dxa"/>
            <w:vAlign w:val="bottom"/>
            <w:tcBorders>
              <w:top w:val="single" w:sz="8" w:color="0000EE"/>
            </w:tcBorders>
          </w:tcPr>
          <w:p>
            <w:pPr>
              <w:spacing w:after="0"/>
              <w:rPr>
                <w:sz w:val="4"/>
                <w:szCs w:val="4"/>
                <w:color w:val="auto"/>
              </w:rPr>
            </w:pPr>
          </w:p>
        </w:tc>
        <w:tc>
          <w:tcPr>
            <w:tcW w:w="18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060" w:type="dxa"/>
            <w:vAlign w:val="bottom"/>
            <w:gridSpan w:val="10"/>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Consolidated Balance Sheet as of December 31, 2014 and 2013</w:t>
              </w:r>
            </w:hyperlink>
          </w:p>
        </w:tc>
        <w:tc>
          <w:tcPr>
            <w:tcW w:w="36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1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060" w:type="dxa"/>
            <w:vAlign w:val="bottom"/>
            <w:gridSpan w:val="10"/>
          </w:tcPr>
          <w:p>
            <w:pPr>
              <w:ind w:left="40"/>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Consolidated Statement of Cash Flows for the three years ended December 31, 2014, 2013 and 2012</w:t>
              </w:r>
            </w:hyperlink>
          </w:p>
        </w:tc>
        <w:tc>
          <w:tcPr>
            <w:tcW w:w="36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53</w:t>
              </w:r>
            </w:hyperlink>
          </w:p>
        </w:tc>
      </w:tr>
      <w:tr>
        <w:trPr>
          <w:trHeight w:val="48"/>
        </w:trPr>
        <w:tc>
          <w:tcPr>
            <w:tcW w:w="4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660" w:type="dxa"/>
            <w:vAlign w:val="bottom"/>
            <w:tcBorders>
              <w:top w:val="single" w:sz="8" w:color="0000EE"/>
            </w:tcBorders>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060" w:type="dxa"/>
            <w:vAlign w:val="bottom"/>
            <w:gridSpan w:val="10"/>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Consolidated Statement of Shareholders’ Equity</w:t>
              </w:r>
            </w:hyperlink>
          </w:p>
        </w:tc>
        <w:tc>
          <w:tcPr>
            <w:tcW w:w="36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1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060" w:type="dxa"/>
            <w:vAlign w:val="bottom"/>
            <w:gridSpan w:val="10"/>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Notes to Consolidated Financial Statements</w:t>
              </w:r>
            </w:hyperlink>
          </w:p>
        </w:tc>
        <w:tc>
          <w:tcPr>
            <w:tcW w:w="36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55</w:t>
              </w:r>
            </w:hyperlink>
          </w:p>
        </w:tc>
      </w:tr>
      <w:tr>
        <w:trPr>
          <w:trHeight w:val="48"/>
        </w:trPr>
        <w:tc>
          <w:tcPr>
            <w:tcW w:w="4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3140" w:type="dxa"/>
            <w:vAlign w:val="bottom"/>
            <w:gridSpan w:val="2"/>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110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(a)(2) FINANCIAL STATEMENT SCHEDULES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140" w:type="dxa"/>
            <w:vAlign w:val="bottom"/>
            <w:gridSpan w:val="2"/>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1060" w:type="dxa"/>
            <w:vAlign w:val="bottom"/>
            <w:gridSpan w:val="10"/>
          </w:tcPr>
          <w:p>
            <w:pPr>
              <w:ind w:left="40"/>
              <w:spacing w:after="0" w:line="202"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Schedule II — Valuation and Qualifying Accounts and Reserves for the three years ended December 31, 2014, 2013 and 2012</w:t>
              </w:r>
            </w:hyperlink>
          </w:p>
        </w:tc>
        <w:tc>
          <w:tcPr>
            <w:tcW w:w="36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S-1</w:t>
              </w:r>
            </w:hyperlink>
          </w:p>
        </w:tc>
      </w:tr>
      <w:tr>
        <w:trPr>
          <w:trHeight w:val="20"/>
        </w:trPr>
        <w:tc>
          <w:tcPr>
            <w:tcW w:w="40" w:type="dxa"/>
            <w:vAlign w:val="bottom"/>
          </w:tcPr>
          <w:p>
            <w:pPr>
              <w:spacing w:after="0" w:line="20" w:lineRule="exact"/>
              <w:rPr>
                <w:sz w:val="1"/>
                <w:szCs w:val="1"/>
                <w:color w:val="auto"/>
              </w:rPr>
            </w:pPr>
          </w:p>
        </w:tc>
        <w:tc>
          <w:tcPr>
            <w:tcW w:w="9120" w:type="dxa"/>
            <w:vAlign w:val="bottom"/>
            <w:gridSpan w:val="8"/>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1102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notes thereto.</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40" w:type="dxa"/>
            <w:vAlign w:val="bottom"/>
            <w:gridSpan w:val="5"/>
          </w:tcPr>
          <w:p>
            <w:pPr>
              <w:jc w:val="center"/>
              <w:ind w:left="3010"/>
              <w:spacing w:after="0"/>
              <w:rPr>
                <w:sz w:val="20"/>
                <w:szCs w:val="20"/>
                <w:color w:val="auto"/>
              </w:rPr>
            </w:pPr>
            <w:r>
              <w:rPr>
                <w:rFonts w:ascii="Times New Roman" w:cs="Times New Roman" w:eastAsia="Times New Roman" w:hAnsi="Times New Roman"/>
                <w:sz w:val="18"/>
                <w:szCs w:val="18"/>
                <w:color w:val="auto"/>
                <w:w w:val="99"/>
              </w:rPr>
              <w:t>49</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49" w:name="page50"/>
    <w:bookmarkEnd w:id="49"/>
    <w:p>
      <w:pPr>
        <w:ind w:right="2600" w:firstLine="2624"/>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Shareholders of International Flavors &amp; Fragrances Inc.:</w:t>
      </w:r>
    </w:p>
    <w:p>
      <w:pPr>
        <w:spacing w:after="0" w:line="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listed in the index appearing under item 15(a)(1) present fairly, in all material respects, the financial position of International Flavors &amp; Fragrances Inc. and its subsidiaries at December 31, 2014 and December 31, 2013, and the results of their operations and their cash flows for each of the three years in the period ended December 31, 2014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2014, based on criteria established in </w:t>
      </w:r>
      <w:r>
        <w:rPr>
          <w:rFonts w:ascii="Times New Roman" w:cs="Times New Roman" w:eastAsia="Times New Roman" w:hAnsi="Times New Roman"/>
          <w:sz w:val="18"/>
          <w:szCs w:val="18"/>
          <w:i w:val="1"/>
          <w:iCs w:val="1"/>
          <w:color w:val="auto"/>
        </w:rPr>
        <w:t>2013 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8" w:lineRule="exact"/>
        <w:rPr>
          <w:sz w:val="20"/>
          <w:szCs w:val="20"/>
          <w:color w:val="auto"/>
        </w:rPr>
      </w:pPr>
    </w:p>
    <w:p>
      <w:pPr>
        <w:ind w:right="40" w:firstLine="432"/>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2, 2015</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576" w:right="2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 AND COMPREHENSIVE INCOME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2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38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78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3,088,533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2,952,896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2,821,446</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1,726,383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1,668,691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1,645,912</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1,362,150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1,284,205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1,175,534</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233,713</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514,891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505,877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453,535</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1,668</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592,321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486,618</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46,067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41,753</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1,450</w:t>
            </w: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549,061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485,210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443,415</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on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134,518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131,666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189,281</w:t>
            </w: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414,543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353,544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254,134</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17,687</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Gains (losses) on derivatives qualifying as hedges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Pension and postretirement liability adjustment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(41,548)</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266,824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364,458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225,818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0" w:type="dxa"/>
            <w:vAlign w:val="bottom"/>
            <w:shd w:val="clear" w:color="auto" w:fill="CCEEFF"/>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5.06</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3.09</w:t>
            </w:r>
          </w:p>
        </w:tc>
      </w:tr>
      <w:tr>
        <w:trPr>
          <w:trHeight w:val="27"/>
        </w:trPr>
        <w:tc>
          <w:tcPr>
            <w:tcW w:w="4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76" w:right="239" w:bottom="1440" w:gutter="0" w:footer="0" w:header="0"/>
        </w:sectPr>
      </w:pPr>
    </w:p>
    <w:bookmarkStart w:id="51" w:name="page52"/>
    <w:bookmarkEnd w:id="51"/>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9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28"/>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4"/>
        </w:trPr>
        <w:tc>
          <w:tcPr>
            <w:tcW w:w="7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0"/>
        </w:trPr>
        <w:tc>
          <w:tcPr>
            <w:tcW w:w="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58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24"/>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478,573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405,505</w:t>
            </w:r>
          </w:p>
        </w:tc>
      </w:tr>
      <w:tr>
        <w:trPr>
          <w:trHeight w:val="224"/>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Receivables: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502,915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534,986</w:t>
            </w: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(10,493)</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568,729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533,806</w:t>
            </w: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27,709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40,189</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141,248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148,910</w:t>
            </w:r>
          </w:p>
        </w:tc>
      </w:tr>
      <w:tr>
        <w:trPr>
          <w:trHeight w:val="217"/>
        </w:trPr>
        <w:tc>
          <w:tcPr>
            <w:tcW w:w="4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1,710,027</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1,652,903</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720,268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687,215</w:t>
            </w: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675,484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665,582</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76,557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30,615</w:t>
            </w: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183,047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154,437</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129,238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140,979</w:t>
            </w:r>
          </w:p>
        </w:tc>
      </w:tr>
      <w:tr>
        <w:trPr>
          <w:trHeight w:val="21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3,494,621</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3,331,731</w:t>
            </w:r>
          </w:p>
        </w:tc>
      </w:tr>
      <w:tr>
        <w:trPr>
          <w:trHeight w:val="73"/>
        </w:trPr>
        <w:tc>
          <w:tcPr>
            <w:tcW w:w="40" w:type="dxa"/>
            <w:vAlign w:val="bottom"/>
            <w:tcBorders>
              <w:bottom w:val="single" w:sz="8" w:color="CCEEFF"/>
            </w:tcBorders>
          </w:tcPr>
          <w:p>
            <w:pPr>
              <w:spacing w:after="0"/>
              <w:rPr>
                <w:sz w:val="6"/>
                <w:szCs w:val="6"/>
                <w:color w:val="auto"/>
              </w:rPr>
            </w:pPr>
          </w:p>
        </w:tc>
        <w:tc>
          <w:tcPr>
            <w:tcW w:w="1740" w:type="dxa"/>
            <w:vAlign w:val="bottom"/>
            <w:tcBorders>
              <w:bottom w:val="single" w:sz="8" w:color="CCEEFF"/>
            </w:tcBorders>
          </w:tcPr>
          <w:p>
            <w:pPr>
              <w:spacing w:after="0"/>
              <w:rPr>
                <w:sz w:val="6"/>
                <w:szCs w:val="6"/>
                <w:color w:val="auto"/>
              </w:rPr>
            </w:pPr>
          </w:p>
        </w:tc>
        <w:tc>
          <w:tcPr>
            <w:tcW w:w="58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77"/>
        </w:trPr>
        <w:tc>
          <w:tcPr>
            <w:tcW w:w="7660" w:type="dxa"/>
            <w:vAlign w:val="bottom"/>
            <w:gridSpan w:val="3"/>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74"/>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8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24"/>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Bank borrowings, overdrafts and current portion of long-term debt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w:t>
            </w: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229,866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226,733</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31,740</w:t>
            </w: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242,884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301,744</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518,808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560,366</w:t>
            </w:r>
          </w:p>
        </w:tc>
      </w:tr>
      <w:tr>
        <w:trPr>
          <w:trHeight w:val="204"/>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60"/>
        </w:trPr>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5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934,232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932,665</w:t>
            </w: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Deferred gains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46,535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41,339</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Retirement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354,333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238,225</w:t>
            </w: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92,085</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1,453,124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1,304,314</w:t>
            </w:r>
          </w:p>
        </w:tc>
      </w:tr>
      <w:tr>
        <w:trPr>
          <w:trHeight w:val="204"/>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17)</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16"/>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Common stock 12 1/2¢ par value; authorized 500,000,000 shares; issued 115,858,190 and 115,761,840 shares as of</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December 31, 2014 and 2013; and outstanding 80,777,590 and 81,384,246 shares as of December 31, 2014 and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2013</w:t>
            </w:r>
          </w:p>
        </w:tc>
        <w:tc>
          <w:tcPr>
            <w:tcW w:w="5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14,470</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140,008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131,461</w:t>
            </w: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3,350,734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3,075,657</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(104,278)</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gains (losses) on derivatives qualifying as hedges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w:t>
            </w: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Pension and postretirement liability adjustment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(284,421)</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Treasury stock, at cost — 35,080,600 and 34,377,594 shares as of December 31, 2014 and 2013</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(1,365,805)</w:t>
            </w:r>
          </w:p>
        </w:tc>
      </w:tr>
      <w:tr>
        <w:trPr>
          <w:trHeight w:val="217"/>
        </w:trPr>
        <w:tc>
          <w:tcPr>
            <w:tcW w:w="4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1,518,561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1,463,072</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3,979</w:t>
            </w:r>
          </w:p>
        </w:tc>
      </w:tr>
      <w:tr>
        <w:trPr>
          <w:trHeight w:val="217"/>
        </w:trPr>
        <w:tc>
          <w:tcPr>
            <w:tcW w:w="4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Shareholders’ Equity including noncontrolling interest</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1,522,689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1,467,051</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3,494,621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3,331,731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0480"/>
          </w:cols>
          <w:pgMar w:left="240" w:top="576" w:right="1179" w:bottom="1440" w:gutter="0" w:footer="0" w:header="0"/>
        </w:sectPr>
      </w:pP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480"/>
          </w:cols>
          <w:pgMar w:left="240" w:top="576" w:right="1179" w:bottom="1440" w:gutter="0" w:footer="0" w:header="0"/>
          <w:type w:val="continuous"/>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960" w:type="dxa"/>
            <w:vAlign w:val="bottom"/>
            <w:tcBorders>
              <w:top w:val="single" w:sz="8" w:color="auto"/>
              <w:bottom w:val="single" w:sz="8" w:color="CCEEFF"/>
            </w:tcBorders>
          </w:tcPr>
          <w:p>
            <w:pPr>
              <w:spacing w:after="0"/>
              <w:rPr>
                <w:sz w:val="4"/>
                <w:szCs w:val="4"/>
                <w:color w:val="auto"/>
              </w:rPr>
            </w:pPr>
          </w:p>
        </w:tc>
        <w:tc>
          <w:tcPr>
            <w:tcW w:w="47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47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414,543</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353,544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254,134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89,354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83,227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76,667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Gain on disposal of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Spanish tax charges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72,362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pursuant to Spanish tax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(105,503)</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Aromor acquisition: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Accruals for incentive compensation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34,632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payables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29,203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Changes in other assets/liabilities,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407,562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323,796</w:t>
            </w:r>
          </w:p>
        </w:tc>
        <w:tc>
          <w:tcPr>
            <w:tcW w:w="0" w:type="dxa"/>
            <w:vAlign w:val="bottom"/>
          </w:tcPr>
          <w:p>
            <w:pPr>
              <w:spacing w:after="0"/>
              <w:rPr>
                <w:sz w:val="1"/>
                <w:szCs w:val="1"/>
                <w:color w:val="auto"/>
              </w:rPr>
            </w:pPr>
          </w:p>
        </w:tc>
      </w:tr>
      <w:tr>
        <w:trPr>
          <w:trHeight w:val="20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acquisition, net of cash received (including $15 million of contingent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consideration)</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(102,500)</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(143,182)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(126,140)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Maturity of net investment hedges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life insurance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life insurance contracts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9,283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(221,333)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(114,261)</w:t>
            </w:r>
          </w:p>
        </w:tc>
        <w:tc>
          <w:tcPr>
            <w:tcW w:w="0" w:type="dxa"/>
            <w:vAlign w:val="bottom"/>
          </w:tcPr>
          <w:p>
            <w:pPr>
              <w:spacing w:after="0"/>
              <w:rPr>
                <w:sz w:val="1"/>
                <w:szCs w:val="1"/>
                <w:color w:val="auto"/>
              </w:rPr>
            </w:pPr>
          </w:p>
        </w:tc>
      </w:tr>
      <w:tr>
        <w:trPr>
          <w:trHeight w:val="20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dividends paid to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(133,239)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change in revolving credit facility borrowings and overdrafts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138,756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297,786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issuance of stock under stock plans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9,211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Excess tax benefits on stock-based payments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(202,330)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25,404</w:t>
            </w:r>
          </w:p>
        </w:tc>
        <w:tc>
          <w:tcPr>
            <w:tcW w:w="0" w:type="dxa"/>
            <w:vAlign w:val="bottom"/>
          </w:tcPr>
          <w:p>
            <w:pPr>
              <w:spacing w:after="0"/>
              <w:rPr>
                <w:sz w:val="1"/>
                <w:szCs w:val="1"/>
                <w:color w:val="auto"/>
              </w:rPr>
            </w:pPr>
          </w:p>
        </w:tc>
      </w:tr>
      <w:tr>
        <w:trPr>
          <w:trHeight w:val="21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81,083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236,143</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year</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324,422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88,279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478,573</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405,505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324,422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Cash paid for: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4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46,106</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41,315</w:t>
            </w:r>
          </w:p>
        </w:tc>
        <w:tc>
          <w:tcPr>
            <w:tcW w:w="0" w:type="dxa"/>
            <w:vAlign w:val="bottom"/>
          </w:tcPr>
          <w:p>
            <w:pPr>
              <w:spacing w:after="0"/>
              <w:rPr>
                <w:sz w:val="1"/>
                <w:szCs w:val="1"/>
                <w:color w:val="auto"/>
              </w:rPr>
            </w:pPr>
          </w:p>
        </w:tc>
      </w:tr>
      <w:tr>
        <w:trPr>
          <w:trHeight w:val="270"/>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Income taxes</w:t>
            </w:r>
            <w:r>
              <w:rPr>
                <w:rFonts w:ascii="Times New Roman" w:cs="Times New Roman" w:eastAsia="Times New Roman" w:hAnsi="Times New Roman"/>
                <w:sz w:val="21"/>
                <w:szCs w:val="21"/>
                <w:color w:val="auto"/>
                <w:vertAlign w:val="superscript"/>
              </w:rPr>
              <w:t>(1)</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92,087</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138,940</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184,592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14,376</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21,744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26,565</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420" w:hanging="412"/>
        <w:spacing w:after="0"/>
        <w:tabs>
          <w:tab w:leader="none" w:pos="4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2012 amount includes $105.5 million pursuant to the Spanish tax settlement (see Note 9).</w:t>
      </w:r>
    </w:p>
    <w:p>
      <w:pPr>
        <w:spacing w:after="0" w:line="2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1900" w:h="16838" w:orient="portrait"/>
          <w:cols w:equalWidth="0" w:num="1">
            <w:col w:w="11400"/>
          </w:cols>
          <w:pgMar w:left="240" w:top="576" w:right="259"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576" w:right="259" w:bottom="1440" w:gutter="0" w:footer="0" w:header="0"/>
          <w:type w:val="continuous"/>
        </w:sectPr>
      </w:pPr>
    </w:p>
    <w:bookmarkStart w:id="53" w:name="page54"/>
    <w:bookmarkEnd w:id="5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w:t>
            </w:r>
          </w:p>
        </w:tc>
        <w:tc>
          <w:tcPr>
            <w:tcW w:w="2360" w:type="dxa"/>
            <w:vAlign w:val="bottom"/>
            <w:gridSpan w:val="4"/>
            <w:vMerge w:val="restart"/>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lated other</w:t>
            </w:r>
          </w:p>
        </w:tc>
        <w:tc>
          <w:tcPr>
            <w:tcW w:w="23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0"/>
                <w:szCs w:val="10"/>
                <w:color w:val="auto"/>
              </w:rPr>
            </w:pPr>
          </w:p>
        </w:tc>
        <w:tc>
          <w:tcPr>
            <w:tcW w:w="10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200" w:type="dxa"/>
            <w:vAlign w:val="bottom"/>
          </w:tcPr>
          <w:p>
            <w:pPr>
              <w:spacing w:after="0"/>
              <w:rPr>
                <w:sz w:val="10"/>
                <w:szCs w:val="10"/>
                <w:color w:val="auto"/>
              </w:rPr>
            </w:pPr>
          </w:p>
        </w:tc>
        <w:tc>
          <w:tcPr>
            <w:tcW w:w="11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excess of</w:t>
            </w:r>
          </w:p>
        </w:tc>
        <w:tc>
          <w:tcPr>
            <w:tcW w:w="220" w:type="dxa"/>
            <w:vAlign w:val="bottom"/>
          </w:tcPr>
          <w:p>
            <w:pPr>
              <w:spacing w:after="0"/>
              <w:rPr>
                <w:sz w:val="10"/>
                <w:szCs w:val="10"/>
                <w:color w:val="auto"/>
              </w:rPr>
            </w:pPr>
          </w:p>
        </w:tc>
        <w:tc>
          <w:tcPr>
            <w:tcW w:w="114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0"/>
                <w:szCs w:val="10"/>
                <w:color w:val="auto"/>
              </w:rPr>
            </w:pPr>
          </w:p>
        </w:tc>
        <w:tc>
          <w:tcPr>
            <w:tcW w:w="1200" w:type="dxa"/>
            <w:vAlign w:val="bottom"/>
          </w:tcPr>
          <w:p>
            <w:pPr>
              <w:jc w:val="right"/>
              <w:ind w:right="149"/>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60"/>
        </w:trPr>
        <w:tc>
          <w:tcPr>
            <w:tcW w:w="23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13"/>
                <w:szCs w:val="13"/>
                <w:color w:val="auto"/>
              </w:rPr>
            </w:pPr>
          </w:p>
        </w:tc>
        <w:tc>
          <w:tcPr>
            <w:tcW w:w="114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2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389"/>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14,470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128,631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2,692,893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(375,309)</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(34,840,632)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(1,356,273)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2,995</w:t>
            </w:r>
          </w:p>
        </w:tc>
        <w:tc>
          <w:tcPr>
            <w:tcW w:w="0" w:type="dxa"/>
            <w:vAlign w:val="bottom"/>
          </w:tcPr>
          <w:p>
            <w:pPr>
              <w:spacing w:after="0"/>
              <w:rPr>
                <w:sz w:val="1"/>
                <w:szCs w:val="1"/>
                <w:color w:val="auto"/>
              </w:rPr>
            </w:pPr>
          </w:p>
        </w:tc>
      </w:tr>
      <w:tr>
        <w:trPr>
          <w:trHeight w:val="17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254,134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17,687</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0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Losses on derivatives qualifying as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hedges; net of tax $1,327</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0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Pension liability and postretirement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(41,548)</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 net of tax $11,696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Cash dividends declared ($1.30 per</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(105,861)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options/SSARs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4,248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336,296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0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Vested restricted stock units and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(23,113)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263,645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10,298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awards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17,738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105,725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Balance at December 31, 2012</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14,470</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127,504</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2,841,166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(403,625)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(34,134,966)</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(1,330,707)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3,747</w:t>
            </w: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353,544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(10,556)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30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Losses on derivatives qualifying as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hedges; net of tax $429</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Pension liability and postretirement</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25,264</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adjustment; net of tax $22,778</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0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Cash dividends declared ($1.46 per</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(119,053)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Stock options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10,395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157,403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share repurchases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(655,907)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0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Vested restricted stock units and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(26,735)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159,559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6,277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awards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20,297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96,317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Balance at December 31, 2013</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14,470</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131,461</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3,075,657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(392,711)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(34,377,594)</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(1,365,805)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3,979</w:t>
            </w: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414,543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(69,064)</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30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Gains on derivatives qualifying as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16,383</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hedges; net of tax $(2,526)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Pension liability and postretirement</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(95,038)</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adjustment; net of tax $36,554</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0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Cash dividends declared ($1.72 per</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(139,466)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Stock options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9,770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87,706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share repurchases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(927,339)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0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Vested restricted stock units and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(23,871)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136,627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4,953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awards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22,648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Balance at December 31, 2014</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14,470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140,008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3,350,734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(540,430)</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(35,080,600)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(1,446,221)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4,128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576" w:right="29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 AND SUMMARY OF SIGNIFICANT ACCOUNTING POLICIES</w:t>
      </w:r>
    </w:p>
    <w:p>
      <w:pPr>
        <w:spacing w:after="0" w:line="90" w:lineRule="exact"/>
        <w:rPr>
          <w:sz w:val="20"/>
          <w:szCs w:val="20"/>
          <w:color w:val="auto"/>
        </w:rPr>
      </w:pPr>
    </w:p>
    <w:p>
      <w:pPr>
        <w:jc w:val="both"/>
        <w:ind w:right="40"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color w:val="auto"/>
        </w:rPr>
        <w:t>International Flavors &amp; Fragrances Inc. and its subsidiaries (the “Registrant,” “IFF,” “the Company,” “we,” “us” and “our”)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leading creator and manufacturer of flavor and fragrance compounds used to impart or improve flavor or fragrance in a wide variety of consumer products. Our products are sold principally to manufacturers of perfumes and cosmetics, hair and other personal care products, soaps and detergents, cleaning products, dairy, meat and other processed foods, beverages, snacks and savory foods, sweet and baked goods, and pharmaceutical and oral care products.</w:t>
      </w:r>
    </w:p>
    <w:p>
      <w:pPr>
        <w:spacing w:after="0" w:line="123"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 has historically operated on a 52/53 week fiscal year generally ending on the Friday closest to the last day of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ease of presentation, December 31 is used consistently throughout the financial statements and notes to represent the period-end date. The 2012 and 2013 fiscal years were 52 week periods and the 2014 fiscal year was a 53 week period. For the 2014, 2013 and 2012 fiscal years, the actual closing dates were January 2, December 27 and December 28, respectively.</w:t>
      </w:r>
    </w:p>
    <w:p>
      <w:pPr>
        <w:spacing w:after="0" w:line="123" w:lineRule="exact"/>
        <w:rPr>
          <w:sz w:val="20"/>
          <w:szCs w:val="20"/>
          <w:color w:val="auto"/>
        </w:rPr>
      </w:pPr>
    </w:p>
    <w:p>
      <w:pPr>
        <w:ind w:right="6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and accompanying disclosures. These estimates are based on management’s best knowledge of current events and actions the Company may undertake in the future. Actual results may ultimately differ from estimates.</w:t>
      </w:r>
    </w:p>
    <w:p>
      <w:pPr>
        <w:spacing w:after="0" w:line="117"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International Flavors &amp; Fragrances Inc. and those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Significant intercompany balances and transactions have been eliminated. To the extent a subsidiary is not wholly-owned, any related noncontrolling interest is included as a separate component of Shareholders’ Equity. Any applicable expense (income) attributable to the noncontrolling interest is included in Other expense, net in the accompanying Consolidated Statement of Income and Comprehensive Income due to its immateriality and, as such, is not presented separately.</w:t>
      </w:r>
    </w:p>
    <w:p>
      <w:pPr>
        <w:spacing w:after="0" w:line="126" w:lineRule="exact"/>
        <w:rPr>
          <w:sz w:val="20"/>
          <w:szCs w:val="20"/>
          <w:color w:val="auto"/>
        </w:rPr>
      </w:pPr>
    </w:p>
    <w:p>
      <w:pPr>
        <w:jc w:val="both"/>
        <w:ind w:right="140"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recognizes revenue when the earnings process is complete. This generally occurs when (i) title and risk of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transferred to the customer in accordance with the terms of sale and (ii) collection is reasonably assured. Sales are reduced, at the time revenue is recognized, for applicable discounts, rebates and sales allowances based on historical experience. Related accruals are included in Other current liabilities in the accompanying Consolidated Balance Sheet.</w:t>
      </w:r>
    </w:p>
    <w:p>
      <w:pPr>
        <w:spacing w:after="0" w:line="123" w:lineRule="exact"/>
        <w:rPr>
          <w:sz w:val="20"/>
          <w:szCs w:val="20"/>
          <w:color w:val="auto"/>
        </w:rPr>
      </w:pPr>
    </w:p>
    <w:p>
      <w:pPr>
        <w:ind w:right="40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The Company translates the assets and liabilities of non-U.S. subsidiaries into U.S. dollars at year-end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Income and expense items are translated at average exchange rates during the year. Cumulative translation adjustments are shown as a separate component of Shareholders’ Equity.</w:t>
      </w:r>
    </w:p>
    <w:p>
      <w:pPr>
        <w:spacing w:after="0" w:line="117" w:lineRule="exact"/>
        <w:rPr>
          <w:sz w:val="20"/>
          <w:szCs w:val="20"/>
          <w:color w:val="auto"/>
        </w:rPr>
      </w:pPr>
    </w:p>
    <w:p>
      <w:pPr>
        <w:ind w:right="30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(“R&amp;D”) expenses relate to the development of new and improved flavors or fragrances,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product support and compliance with governmental regulation. All research and development costs are expensed as incurred.</w:t>
      </w:r>
    </w:p>
    <w:p>
      <w:pPr>
        <w:spacing w:after="0" w:line="101"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Cash Equivalents</w:t>
      </w:r>
      <w:r>
        <w:rPr>
          <w:sz w:val="20"/>
          <w:szCs w:val="20"/>
          <w:color w:val="auto"/>
        </w:rPr>
        <w:tab/>
      </w:r>
      <w:r>
        <w:rPr>
          <w:rFonts w:ascii="Times New Roman" w:cs="Times New Roman" w:eastAsia="Times New Roman" w:hAnsi="Times New Roman"/>
          <w:sz w:val="18"/>
          <w:szCs w:val="18"/>
          <w:color w:val="auto"/>
        </w:rPr>
        <w:t>Cash equivalents include highly liquid investments with maturities of three months or less at date of purchase.</w:t>
      </w:r>
    </w:p>
    <w:p>
      <w:pPr>
        <w:spacing w:after="0" w:line="171"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The Company sells certain accounts receivable on a non-recourse basis to unrelated financial institutions under “factoring”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that are sponsored, solely and individually, by certain customers. The Company accounts for these transactions as sale of receivables, removes the receivables sold from its financial statements, and records cash proceeds when received by the Company. The increase in cash from operations was approximately $33 million, $7 million and $18 million in 2014, 2013 and 2012, respectively, along with approximately $40 million in periods prior to 2012 in connection with these programs. The cost of participating in these programs was immaterial to our results in all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576" w:right="259" w:bottom="1440" w:gutter="0" w:footer="0" w:header="0"/>
        </w:sectPr>
      </w:pPr>
    </w:p>
    <w:bookmarkStart w:id="55" w:name="page56"/>
    <w:bookmarkEnd w:id="55"/>
    <w:p>
      <w:pPr>
        <w:ind w:left="44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Inventories</w:t>
      </w:r>
      <w:r>
        <w:rPr>
          <w:sz w:val="20"/>
          <w:szCs w:val="20"/>
          <w:color w:val="auto"/>
        </w:rPr>
        <w:tab/>
      </w:r>
      <w:r>
        <w:rPr>
          <w:rFonts w:ascii="Times New Roman" w:cs="Times New Roman" w:eastAsia="Times New Roman" w:hAnsi="Times New Roman"/>
          <w:sz w:val="17"/>
          <w:szCs w:val="17"/>
          <w:color w:val="auto"/>
        </w:rPr>
        <w:t>Inventories are stated at the lower of cost (on a weighted average basis) or market. Our inventories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275,161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252,457</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17,705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6,658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275,863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274,691</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568,729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533,806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140"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are recorded at cost. Depreciation is calculated on a straight-line basis, principally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the following estimated useful lives: buildings and improvements, 10 to 40 years; machinery and equipment, 3 to 20 years; information technology hardware and software, 3 to 7 years; and leasehold improvements which are included in buildings and improvements, the estimated life of the improvements or the remaining term of the lease, whichever is shorter. During 2014, the Company began to use an estimated useful life of 20 years for certain machinery and equipment. The change in useful life, which was adopted prospectively, did not have a material effect on the Company's 2014 financial statements.</w:t>
      </w:r>
    </w:p>
    <w:p>
      <w:pPr>
        <w:spacing w:after="0" w:line="13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for impairment when events or changes in business 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122" w:lineRule="exact"/>
        <w:rPr>
          <w:sz w:val="20"/>
          <w:szCs w:val="20"/>
          <w:color w:val="auto"/>
        </w:rPr>
      </w:pPr>
    </w:p>
    <w:p>
      <w:pPr>
        <w:ind w:right="2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Goodwill represents the difference between the total purchase price and the fair value of identifiable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acquired in business acquisitions.</w:t>
      </w:r>
    </w:p>
    <w:p>
      <w:pPr>
        <w:spacing w:after="0" w:line="105"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assessing the potential for impairment of goodwill, management uses the most current actual and forecasted operating data available and current market based assumptions in accordance with the criteria in ASC 350. In 2012, the Company re-evaluated its reporting unit structure and identified three reporting units: (1) Flavors, (2) Fragrance Compounds and (3) Fragrance Ingredients. These reporting units were determined based on the level at which the performance is measured and reviewed by segment management.</w:t>
      </w:r>
    </w:p>
    <w:p>
      <w:pPr>
        <w:spacing w:after="0" w:line="126"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Company performed the annual goodwill impairment test utilizing the two-step approach for the Flavors, Fragrance Compounds and Fragrance Ingredients reporting units, by assessing the fair value of our reporting units based on discounted cash flows. We completed our annual goodwill impairment test as of November 30, 2014, which indicated no impairment of goodwill, as the estimated fair values substantially exceeded the carrying values of each of these reporting units.</w:t>
      </w:r>
    </w:p>
    <w:p>
      <w:pPr>
        <w:spacing w:after="0" w:line="126"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Other intangible assets include patents, trademarks and other intellectual property valued at acquisition, and amortized on a straight-line basis over periods ranging from 6 to 20 years.</w:t>
      </w:r>
    </w:p>
    <w:p>
      <w:pPr>
        <w:spacing w:after="0" w:line="104" w:lineRule="exact"/>
        <w:rPr>
          <w:sz w:val="20"/>
          <w:szCs w:val="20"/>
          <w:color w:val="auto"/>
        </w:rPr>
      </w:pPr>
    </w:p>
    <w:p>
      <w:pPr>
        <w:ind w:right="140"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accounts for taxes under the asset and liability method. Under this method, deferred income taxes are recognized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temporary differences between the financial statement and tax return bases of assets and liabilities, based on enacted tax rates and other provisions of the tax law. The effect of a change in tax laws or rates on deferred tax assets and liabilities is recognized in income in the period in which such change is enacted. Future tax benefits are recognized to the extent that realization of such benefits is more likely than not, and a valuation allowance is established for any portion of a deferred tax asset that management believes may not be realized.</w:t>
      </w:r>
    </w:p>
    <w:p>
      <w:pPr>
        <w:spacing w:after="0" w:line="13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Company recognizes uncertain tax positions that it has taken or expects to take on a tax return. Pursuant to accounting requirements, we first determine whether it is “more likely than not” our tax position will be sustained if the relevant tax authority were to audit the position with full knowledge of all the relevant facts and other information. For those tax positions that meet this threshold, we measure the amount of tax benefit based on the largest amount of tax benefit that we have a greater than 50% chance of realizing in a final settlement with the relevant authority. Those tax positions failing to qualify for initial recognition are recognized in the first interim period in which they meet the more likely than not standard. We maintain a cumulative risk portfolio relating to all of our uncertainties in income taxes in order to perform this analysis, but the evaluation of our tax positions requires significant judgment and estimation in part because, in certain cases, tax law is subject to varied interpretation, and whether a tax position will ultimately be sustained may be uncertain.</w:t>
      </w:r>
    </w:p>
    <w:p>
      <w:pPr>
        <w:spacing w:after="0" w:line="131"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The Company regularly repatriates a portion of current year earnings from select non–U.S. subsidiaries. No provision has been made for additional taxes on undistributed earnings of subsidiary companies that are intended and planned to be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738" w:right="239" w:bottom="1440" w:gutter="0" w:footer="0" w:header="0"/>
        </w:sectPr>
      </w:pPr>
    </w:p>
    <w:bookmarkStart w:id="56" w:name="page57"/>
    <w:bookmarkEnd w:id="56"/>
    <w:p>
      <w:pPr>
        <w:ind w:right="640"/>
        <w:spacing w:after="0" w:line="282" w:lineRule="auto"/>
        <w:rPr>
          <w:sz w:val="20"/>
          <w:szCs w:val="20"/>
          <w:color w:val="auto"/>
        </w:rPr>
      </w:pPr>
      <w:r>
        <w:rPr>
          <w:rFonts w:ascii="Times New Roman" w:cs="Times New Roman" w:eastAsia="Times New Roman" w:hAnsi="Times New Roman"/>
          <w:sz w:val="18"/>
          <w:szCs w:val="18"/>
          <w:color w:val="auto"/>
        </w:rPr>
        <w:t>indefinitely invested in such subsidiaries. We intend to, and have plans to, reinvest these earnings indefinitely in our foreign subsidiaries to fund local operations and/or capital projects.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and penalties related to unrecognized tax benefits are recognized as a component of income tax expense.</w:t>
      </w:r>
    </w:p>
    <w:p>
      <w:pPr>
        <w:spacing w:after="0" w:line="167"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Retirement Benefits </w:t>
      </w:r>
      <w:r>
        <w:rPr>
          <w:rFonts w:ascii="Times New Roman" w:cs="Times New Roman" w:eastAsia="Times New Roman" w:hAnsi="Times New Roman"/>
          <w:sz w:val="18"/>
          <w:szCs w:val="18"/>
          <w:color w:val="auto"/>
        </w:rPr>
        <w:t>Current service costs of retirement plans and postretirement health care and life insurance benefits are accrued. Prior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resulting from plan improvements are amortized over periods ranging from 10 to 20 years.</w:t>
      </w:r>
    </w:p>
    <w:p>
      <w:pPr>
        <w:spacing w:after="0" w:line="101" w:lineRule="exact"/>
        <w:rPr>
          <w:sz w:val="20"/>
          <w:szCs w:val="20"/>
          <w:color w:val="auto"/>
        </w:rPr>
      </w:pPr>
    </w:p>
    <w:p>
      <w:pPr>
        <w:jc w:val="both"/>
        <w:ind w:right="4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color w:val="auto"/>
        </w:rPr>
        <w:t>Derivative financial instruments are used to manage interest and foreign currency exposures. The gain or loss on the hedging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is recorded in earnings at the same time as the transaction being hedged is recorded in earnings. The associated asset or liability related to the open hedge instrument is recorded in Prepaid expenses and other current assets or Other current liabilities, as applicable.</w:t>
      </w:r>
    </w:p>
    <w:p>
      <w:pPr>
        <w:spacing w:after="0" w:line="121" w:lineRule="exact"/>
        <w:rPr>
          <w:sz w:val="20"/>
          <w:szCs w:val="20"/>
          <w:color w:val="auto"/>
        </w:rPr>
      </w:pPr>
    </w:p>
    <w:p>
      <w:pPr>
        <w:ind w:right="240" w:firstLine="432"/>
        <w:spacing w:after="0" w:line="256" w:lineRule="auto"/>
        <w:rPr>
          <w:sz w:val="20"/>
          <w:szCs w:val="20"/>
          <w:color w:val="auto"/>
        </w:rPr>
      </w:pPr>
      <w:r>
        <w:rPr>
          <w:rFonts w:ascii="Times New Roman" w:cs="Times New Roman" w:eastAsia="Times New Roman" w:hAnsi="Times New Roman"/>
          <w:sz w:val="18"/>
          <w:szCs w:val="18"/>
          <w:color w:val="auto"/>
        </w:rPr>
        <w:t>The Company records all derivative financial instruments on the balance sheet at fair value. Changes in a derivative’s fair value are recognized in earnings unless specific hedge criteria are met. If the derivative is designated as a fair value hedge, the changes in the fair value of the derivative and of the hedged item attributable to the hedged risk are recognized in Net income. If the derivative is designated as a cash flow hedge, the effective portions of changes in the fair value of the derivative are recorded in Accumulated other comprehensive income ("AOCI") in the accompanying Consolidated Balance Sheet and are subsequently recognized in Net income when the hedged item affects earnings. Ineffective portions of changes in the fair value of cash flow hedges, if any, are recognized as a charge or credit to earnings.</w:t>
      </w:r>
    </w:p>
    <w:p>
      <w:pPr>
        <w:spacing w:after="0" w:line="130" w:lineRule="exact"/>
        <w:rPr>
          <w:sz w:val="20"/>
          <w:szCs w:val="20"/>
          <w:color w:val="auto"/>
        </w:rPr>
      </w:pPr>
    </w:p>
    <w:p>
      <w:pPr>
        <w:ind w:right="20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Software Costs </w:t>
      </w:r>
      <w:r>
        <w:rPr>
          <w:rFonts w:ascii="Times New Roman" w:cs="Times New Roman" w:eastAsia="Times New Roman" w:hAnsi="Times New Roman"/>
          <w:sz w:val="18"/>
          <w:szCs w:val="18"/>
          <w:color w:val="auto"/>
        </w:rPr>
        <w:t>The Company capitalizes direct internal and external development costs for certain significant projects associated with internal-use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and amortizes these costs over 7 years. Neither preliminary evaluation costs nor costs associated with the software after implementation are capitalized. Costs related to projects that are not significant are expensed as incurred.</w:t>
      </w:r>
    </w:p>
    <w:p>
      <w:pPr>
        <w:spacing w:after="0" w:line="117" w:lineRule="exact"/>
        <w:rPr>
          <w:sz w:val="20"/>
          <w:szCs w:val="20"/>
          <w:color w:val="auto"/>
        </w:rPr>
      </w:pPr>
    </w:p>
    <w:p>
      <w:pPr>
        <w:ind w:right="1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Shipping and Handling Costs </w:t>
      </w:r>
      <w:r>
        <w:rPr>
          <w:rFonts w:ascii="Times New Roman" w:cs="Times New Roman" w:eastAsia="Times New Roman" w:hAnsi="Times New Roman"/>
          <w:sz w:val="18"/>
          <w:szCs w:val="18"/>
          <w:color w:val="auto"/>
        </w:rPr>
        <w:t>Net sales include shipping and handling charges billed to customers. Cost of goods sold includes all costs incurred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shipping and handling.</w:t>
      </w:r>
    </w:p>
    <w:p>
      <w:pPr>
        <w:spacing w:after="0" w:line="101" w:lineRule="exact"/>
        <w:rPr>
          <w:sz w:val="20"/>
          <w:szCs w:val="20"/>
          <w:color w:val="auto"/>
        </w:rPr>
      </w:pPr>
    </w:p>
    <w:p>
      <w:pPr>
        <w:ind w:right="2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Per Share </w:t>
      </w:r>
      <w:r>
        <w:rPr>
          <w:rFonts w:ascii="Times New Roman" w:cs="Times New Roman" w:eastAsia="Times New Roman" w:hAnsi="Times New Roman"/>
          <w:sz w:val="18"/>
          <w:szCs w:val="18"/>
          <w:color w:val="auto"/>
        </w:rPr>
        <w:t>Net income per share is based on the weighted average number of shares outstanding. A reconciliation of shares used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computations of basic and diluted net income per share is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tcBorders>
              <w:bottom w:val="single" w:sz="8" w:color="auto"/>
            </w:tcBorders>
          </w:tcPr>
          <w:p>
            <w:pPr>
              <w:spacing w:after="0"/>
              <w:rPr>
                <w:sz w:val="16"/>
                <w:szCs w:val="16"/>
                <w:color w:val="auto"/>
              </w:rPr>
            </w:pPr>
          </w:p>
        </w:tc>
      </w:tr>
      <w:tr>
        <w:trPr>
          <w:trHeight w:val="228"/>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9"/>
                <w:szCs w:val="19"/>
                <w:color w:val="auto"/>
              </w:rPr>
            </w:pPr>
          </w:p>
        </w:tc>
        <w:tc>
          <w:tcPr>
            <w:tcW w:w="148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9"/>
                <w:szCs w:val="19"/>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80,936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81,322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81,108</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Assumed dilution under stock plans</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725</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81,494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81,930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81,833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Stock options and stock settled appreciation rights (“SSARs”) to purchase 132,000 shares in the aggregate were outstanding at December 31, 2012, but are not included in the computation of diluted net income per share because to do so would have been anti-dilutive for the periods presented. There were no stock options or SSARs excluded from the computation of diluted net income per share at December 31, 2013 and 2014.</w:t>
      </w:r>
    </w:p>
    <w:p>
      <w:pPr>
        <w:spacing w:after="0" w:line="12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Company has issued shares of Purchased Restricted Stock (“PRS”) which contain nonforfeitable rights to dividends and thus are considered participating securities which are required to be included in the computation of basic and diluted earnings per share pursuant to the two-class method. The two-class method was not presented since the difference between basic and diluted net income per share for both common shareholders and PRS shareholders was approximately $0.01 per share for each year and the number of PRS outstanding as of December 31, 2014, 2013 and 2012 was immaterial (approximately 0.6% 0.7%, and 0.6%, respectively, of the total number of common shares outstanding). Net income allocated to such PRS during 2014, 2013 and 2012 was approximately $2.4 million, $2.3 million and $1.6 million, respectively.</w:t>
      </w:r>
    </w:p>
    <w:p>
      <w:pPr>
        <w:spacing w:after="0" w:line="130" w:lineRule="exact"/>
        <w:rPr>
          <w:sz w:val="20"/>
          <w:szCs w:val="20"/>
          <w:color w:val="auto"/>
        </w:rPr>
      </w:pPr>
    </w:p>
    <w:p>
      <w:pPr>
        <w:ind w:right="26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Compensation cost of all share-based awards is measured at fair value on the date of grant and recognized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period for which awards are expected to vest. The cost of such share-based awards is principally recognized on a straight-line attribution basis over their respective vesting periods, net of estimated forfeitures.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In March 2013, the Financial Accounting Standards Board (“FASB”) issued authoritative guidance clarifying the accounting for the release of cumulative translation adjustments into net income when a parent either sells a part or all of 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742" w:right="239" w:bottom="1440" w:gutter="0" w:footer="0" w:header="0"/>
        </w:sectPr>
      </w:pPr>
    </w:p>
    <w:bookmarkStart w:id="57" w:name="page58"/>
    <w:bookmarkEnd w:id="57"/>
    <w:p>
      <w:pPr>
        <w:ind w:right="40"/>
        <w:spacing w:after="0" w:line="266" w:lineRule="auto"/>
        <w:rPr>
          <w:sz w:val="20"/>
          <w:szCs w:val="20"/>
          <w:color w:val="auto"/>
        </w:rPr>
      </w:pPr>
      <w:r>
        <w:rPr>
          <w:rFonts w:ascii="Times New Roman" w:cs="Times New Roman" w:eastAsia="Times New Roman" w:hAnsi="Times New Roman"/>
          <w:sz w:val="18"/>
          <w:szCs w:val="18"/>
          <w:color w:val="auto"/>
        </w:rPr>
        <w:t>investment in a foreign entity or no longer holds a controlling financial interest in a subsidiary or group of assets that is a nonprofit activity or a business within a foreign entity. The guidance was effective prospectively for reporting periods beginning after December 15, 2013. The adoption of this statement did not have an impact on our financial position, results of operations or cash flows.</w:t>
      </w:r>
    </w:p>
    <w:p>
      <w:pPr>
        <w:spacing w:after="0" w:line="12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July 2013, the FASB issued authoritative guidance related to the financial statement presentation of unrecognized tax benefits. This update clarifies that an unrecognized tax benefit, or a portion of an unrecognized tax benefit, should be presented in the financial statements as a reduction to a deferred tax asset for a net operating loss carryforward, a similar tax loss, or a tax credit carryforward, except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In such situations, the unrecognized tax benefit should be presented in the financial statements as a liability and should not be combined with deferred tax assets. The guidance was effective prospectively for reporting periods beginning after December 15, 2013. The adoption of this statement did not have a significant impact on our financial position, results of operations or cash flows.</w:t>
      </w:r>
    </w:p>
    <w:p>
      <w:pPr>
        <w:spacing w:after="0" w:line="131"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In May 2014, the FASB issued authoritative guidance to clarify the principles to be used to recognize revenue. The guidance is applicable to all entities and is effective for annual and interim periods beginning after December 15, 2016. Early adoption is not permitted. The Company is currently evaluating the impact that this new standard will have on its consolidated financial statements.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reclassifications have been made to the prior years' financial statements to conform to the 2014 presentation.</w:t>
      </w:r>
    </w:p>
    <w:p>
      <w:pPr>
        <w:spacing w:after="0" w:line="16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RESTRUCTURING AND OTHER CHARGES</w:t>
      </w:r>
    </w:p>
    <w:p>
      <w:pPr>
        <w:spacing w:after="0" w:line="94" w:lineRule="exact"/>
        <w:rPr>
          <w:sz w:val="20"/>
          <w:szCs w:val="20"/>
          <w:color w:val="auto"/>
        </w:rPr>
      </w:pPr>
    </w:p>
    <w:p>
      <w:pPr>
        <w:ind w:right="720" w:firstLine="405"/>
        <w:spacing w:after="0" w:line="391" w:lineRule="auto"/>
        <w:rPr>
          <w:sz w:val="20"/>
          <w:szCs w:val="20"/>
          <w:color w:val="auto"/>
        </w:rPr>
      </w:pPr>
      <w:r>
        <w:rPr>
          <w:rFonts w:ascii="Times New Roman" w:cs="Times New Roman" w:eastAsia="Times New Roman" w:hAnsi="Times New Roman"/>
          <w:sz w:val="18"/>
          <w:szCs w:val="18"/>
          <w:color w:val="auto"/>
        </w:rPr>
        <w:t xml:space="preserve">Restructuring and other charges primarily consist of separation costs for employees including severance, outplacement and other benefit costs. </w:t>
      </w:r>
      <w:r>
        <w:rPr>
          <w:rFonts w:ascii="Times New Roman" w:cs="Times New Roman" w:eastAsia="Times New Roman" w:hAnsi="Times New Roman"/>
          <w:sz w:val="18"/>
          <w:szCs w:val="18"/>
          <w:b w:val="1"/>
          <w:bCs w:val="1"/>
          <w:color w:val="auto"/>
        </w:rPr>
        <w:t>Fragrance Ingredients Rationalization</w:t>
      </w:r>
    </w:p>
    <w:p>
      <w:pPr>
        <w:spacing w:after="0" w:line="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2014, the Company closed its fragrance ingredients manufacturing facility in Augusta, Georgia and consolidated production into other Company facilities. In connection with this closure, the Company incurred charges of $13.8 million, consisting primarily of $10.3 million in accelerated depreciation of fixed assets, $2.2 million in personnel-related costs and $1.3 million in plant shutdown and other related costs. The Company recorded total charges of $7.4 million during 2013, consisting of $2.2 million of pre-tax charges related to severance included in Restructuring and other charges, net and $5.2 million of non-cash charges related to accelerated depreciation included in Cost of goods sold. During 2014, the Company recorded $1.3 million of plant shutdown and other related costs included in Restructuring and other charges, net as well as an additional $5.1 million of non-cash charges related to accelerated depreciation included in Cost of goods sold. As a result of this closure, 43 positions have been eliminated. The Company estimates that approximately $3 - $4 million of the costs will be or have been cash expenditures.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During 2013, the Company reversed $1.2 million of employee-related liabilities, offset by $0.6 million of additional costs incurred related to the European Rationalization Plan that was announced in 2009 and completed in 2011. Additionally, during 2013, the Company recorded a charge of $1.7 million related to the Strategic Initiative, which began in 2011 and was completed in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742" w:right="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Reorganization Plan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Movements in related accruals during 2012, 2013 and 2014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 -</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Related/and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2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Related</w:t>
            </w:r>
          </w:p>
        </w:tc>
        <w:tc>
          <w:tcPr>
            <w:tcW w:w="3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4"/>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charges (reversals), net</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charges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Payments and other costs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charges (reversals), net</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5,250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charges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Payments and other costs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charges (reversals), net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6,444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charges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Payments and other costs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Balance at December 31, 2014</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PROPERTY, PLANT AND EQUIPMENT, NET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2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Property, plant and equipment consists of the following amounts: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Asset Type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411,157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432,978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935,340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Information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254,961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1,766,746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1,757,983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(1,046,478)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(1,070,768)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720,268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687,215</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 NET</w:t>
            </w: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80" w:type="dxa"/>
            <w:vAlign w:val="bottom"/>
            <w:gridSpan w:val="4"/>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Goodwill by segment is as follows: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319,479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319,479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356,005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346,103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675,484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665,582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Fragrances goodwill for the year ended December 31, 2014, relates to the acquisition of Aromor, as discussed below.</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738" w:right="239" w:bottom="1440" w:gutter="0" w:footer="0" w:header="0"/>
          <w:type w:val="continuous"/>
        </w:sectPr>
      </w:pPr>
    </w:p>
    <w:bookmarkStart w:id="59" w:name="page60"/>
    <w:bookmarkEnd w:id="59"/>
    <w:p>
      <w:pPr>
        <w:ind w:left="440"/>
        <w:spacing w:after="0"/>
        <w:rPr>
          <w:sz w:val="20"/>
          <w:szCs w:val="20"/>
          <w:color w:val="auto"/>
        </w:rPr>
      </w:pPr>
      <w:r>
        <w:rPr>
          <w:rFonts w:ascii="Times New Roman" w:cs="Times New Roman" w:eastAsia="Times New Roman" w:hAnsi="Times New Roman"/>
          <w:sz w:val="18"/>
          <w:szCs w:val="18"/>
          <w:color w:val="auto"/>
        </w:rPr>
        <w:t>Trademark and other intangible assets consist of the following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34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Gross carrying value</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218,676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165,406</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jc w:val="right"/>
              <w:ind w:right="75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76,557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30,615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jc w:val="right"/>
              <w:ind w:right="6260"/>
              <w:spacing w:after="0"/>
              <w:rPr>
                <w:sz w:val="20"/>
                <w:szCs w:val="20"/>
                <w:color w:val="auto"/>
              </w:rPr>
            </w:pPr>
            <w:r>
              <w:rPr>
                <w:rFonts w:ascii="Times New Roman" w:cs="Times New Roman" w:eastAsia="Times New Roman" w:hAnsi="Times New Roman"/>
                <w:sz w:val="18"/>
                <w:szCs w:val="18"/>
                <w:color w:val="auto"/>
                <w:w w:val="99"/>
              </w:rPr>
              <w:t>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3220" w:firstLine="8"/>
        <w:spacing w:after="0" w:line="355" w:lineRule="auto"/>
        <w:tabs>
          <w:tab w:leader="none" w:pos="4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patents, trademarks, technological know-how, and other intellectual property, valued at acquisition. </w:t>
      </w:r>
      <w:r>
        <w:rPr>
          <w:rFonts w:ascii="Times New Roman" w:cs="Times New Roman" w:eastAsia="Times New Roman" w:hAnsi="Times New Roman"/>
          <w:sz w:val="18"/>
          <w:szCs w:val="18"/>
          <w:i w:val="1"/>
          <w:iCs w:val="1"/>
          <w:color w:val="auto"/>
        </w:rPr>
        <w:t>Aromor</w:t>
      </w:r>
    </w:p>
    <w:p>
      <w:pPr>
        <w:spacing w:after="0" w:line="45"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On January 15, 2014, the Company completed the acquisition of 100% of the equity of Aromor Flavors and Fragrances Ltd. ("Aromor"), a privately held manufacturer and marketer of complex specialty ingredients that are used in fragrances and flavors. The acquisition was accounted for under the purchase method. The Company paid $102.6 million (including $0.1 million of cash acquired) for this acquisition, which was funded out of existing cash resources. Aromor is part of the IFF Fragrances Ingredients business and was acquired in order to strengthen this business and provide cost-effective quality materials for use in our formula creations. The purchase price exceeded the carrying value of existing net assets by approximately $56 million. The excess was allocated principally to identifiable intangible assets (approximately $53 million), goodwill (approximately $10 million) and approximately $9 million to deferred tax liabilities. Separately identifiable intangible assets are principally related to technological know-how. The intangible assets are amortized using lives ranging from 13-19 years. Additionally, the consideration included $15 million related to post-combination contingent consideration, held in escrow. This escrowed amount will be expensed by the Company as it is earned by the selling shareholders over three years based upon the continued participation in the acquired business of certain key personnel. The purchase price allocation was completed during the second quarter. No pro forma financial information for 2013 is presented as the impact of the acquisition is immaterial.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was $7.3 million for the year ended December 31, 2014, and $6.1 million for each year ended December 31, 2013 and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annual amortization is $7.2 million for years 2015 through 2018 and $6.5 million for 2019.</w:t>
      </w:r>
    </w:p>
    <w:p>
      <w:pPr>
        <w:spacing w:after="0" w:line="23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OTHER ASSETS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assets consist of the following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Overfunded pension plans</w:t>
            </w:r>
          </w:p>
        </w:tc>
        <w:tc>
          <w:tcPr>
            <w:tcW w:w="41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14,058</w:t>
            </w:r>
          </w:p>
        </w:tc>
        <w:tc>
          <w:tcPr>
            <w:tcW w:w="0" w:type="dxa"/>
            <w:vAlign w:val="bottom"/>
          </w:tcPr>
          <w:p>
            <w:pPr>
              <w:spacing w:after="0"/>
              <w:rPr>
                <w:sz w:val="1"/>
                <w:szCs w:val="1"/>
                <w:color w:val="auto"/>
              </w:rPr>
            </w:pPr>
          </w:p>
        </w:tc>
      </w:tr>
      <w:tr>
        <w:trPr>
          <w:trHeight w:val="243"/>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Cash surrender value of life insurance contracts</w:t>
            </w:r>
          </w:p>
        </w:tc>
        <w:tc>
          <w:tcPr>
            <w:tcW w:w="3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42,378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56,292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85,522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70,629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129,238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140,979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80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60" w:name="page61"/>
    <w:bookmarkEnd w:id="60"/>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OTHER CURRENT LIABILITIES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current liabilities consist of the following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payrolls and bonuses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71,264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105,816</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VAT payable</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23,448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12,709</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pension and other postretirement benefit obligation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11,891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insurance (including workers’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9,777</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120,142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135,987</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242,884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301,744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7.</w:t>
        <w:tab/>
        <w:t>SALE AND LEASEBACK TRANSACTIONS</w:t>
      </w:r>
    </w:p>
    <w:p>
      <w:pPr>
        <w:spacing w:after="0" w:line="94"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disposition of certain real estate in prior years, we entered into long-term operating leases. The leases are classified as operating leases and the gains realized on these leases have been deferred and are being credited to income over the initial lease term. Such deferred gains totaled $42 million and $45 million at December 31, 2014 and 2013, respectively, of which $39 million and $41 million, respectively, are reflected in the accompanying Consolidated Balance Sheet under the caption Deferred gains, with the remainder included as a component of Other current liabilities.</w:t>
      </w:r>
    </w:p>
    <w:p>
      <w:pPr>
        <w:spacing w:after="0" w:line="25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Debt consists of the following at December 31: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360" w:type="dxa"/>
            <w:vAlign w:val="bottom"/>
          </w:tcPr>
          <w:p>
            <w:pPr>
              <w:spacing w:after="0"/>
              <w:rPr>
                <w:sz w:val="13"/>
                <w:szCs w:val="13"/>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 2007</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500,000</w:t>
            </w:r>
          </w:p>
        </w:tc>
      </w:tr>
      <w:tr>
        <w:trPr>
          <w:trHeight w:val="243"/>
        </w:trPr>
        <w:tc>
          <w:tcPr>
            <w:tcW w:w="5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Senior notes — 2006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125,000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 2013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299,736</w:t>
            </w:r>
          </w:p>
        </w:tc>
      </w:tr>
      <w:tr>
        <w:trPr>
          <w:trHeight w:val="243"/>
        </w:trPr>
        <w:tc>
          <w:tcPr>
            <w:tcW w:w="5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Bank overdrafts and other</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realized gains on interest rate swaps</w:t>
            </w: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7,094</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942,322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932,814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934,232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932,665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ind w:right="800" w:firstLine="405"/>
        <w:spacing w:after="0" w:line="282" w:lineRule="auto"/>
        <w:rPr>
          <w:sz w:val="20"/>
          <w:szCs w:val="20"/>
          <w:color w:val="auto"/>
        </w:rPr>
      </w:pPr>
      <w:r>
        <w:rPr>
          <w:rFonts w:ascii="Times New Roman" w:cs="Times New Roman" w:eastAsia="Times New Roman" w:hAnsi="Times New Roman"/>
          <w:sz w:val="18"/>
          <w:szCs w:val="18"/>
          <w:color w:val="auto"/>
        </w:rPr>
        <w:t>Commercial paper issued by the Company generally has terms of 30 days or less. There were no outstanding commercial paper borrowings at December 31, 2014 or 2013.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- 2013</w:t>
      </w:r>
    </w:p>
    <w:p>
      <w:pPr>
        <w:spacing w:after="0" w:line="173"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April 4, 2013, the Company issued $300.0 million face amount of 3.20% Senior Notes (“Senior Notes - 2013”) due 2023 at a discount of $0.3 million. The Company received proceeds related to the issuance of these Senior Notes - 2013 of $297.8 million which was net of the $0.3 million discount and a $1.9 million underwriting discount (recorded as deferred financing costs). In addition, the Company incurred $0.9 million of other deferred financing costs in connection with the debt issuance. The discount and deferred financing costs are being amortized as interest expense over the term of the Senior Notes - 2013. The Senior Notes - 2013 bear interest at a rate of 3.20% per year, with interest payable on May 1 and November 1 of each year, commencing on November 1, 2013. The Senior Notes - 2013 mature on May 1, 2023. Upon 30 days’ notice to holders of the Senior Notes - 2013, the Company may redeem the Senior Notes - 2013 for cash in whole, at any time, or in part, from time to time, prior to maturity, at redemption prices that include accrued and unpaid interest and a make-whole premium. However, no make-whole premium will be paid for redemptions of the Senior Notes - 2013 on or after February 1, 2023. The Indenture provides for customary events of default and contains certain negative covenants that limit the ability of the Company and its subsidiaries to grant liens on assets, to enter into sale-leaseback transactions or to consolidate with or merge into any other entity or convey, transfer or lease all or substantially all of the Company’s properties and assets. In addition,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738" w:right="239" w:bottom="1440" w:gutter="0" w:footer="0" w:header="0"/>
        </w:sectPr>
      </w:pPr>
    </w:p>
    <w:bookmarkStart w:id="61" w:name="page62"/>
    <w:bookmarkEnd w:id="61"/>
    <w:p>
      <w:pPr>
        <w:ind w:right="20"/>
        <w:spacing w:after="0" w:line="261" w:lineRule="auto"/>
        <w:rPr>
          <w:sz w:val="20"/>
          <w:szCs w:val="20"/>
          <w:color w:val="auto"/>
        </w:rPr>
      </w:pPr>
      <w:r>
        <w:rPr>
          <w:rFonts w:ascii="Times New Roman" w:cs="Times New Roman" w:eastAsia="Times New Roman" w:hAnsi="Times New Roman"/>
          <w:sz w:val="18"/>
          <w:szCs w:val="18"/>
          <w:color w:val="auto"/>
        </w:rPr>
        <w:t>subject to certain limitations, in the event of the occurrence of both (1) a change of control of the Company and (2) a downgrade of the Senior Notes - 2013 below investment grade rating by both Moody’s Investors Services, Inc. and Standard &amp; Poor’s Ratings Services within a specified time period, the Company will be required to make an offer to repurchase the Senior Notes - 2013 at a price equal to 101% of the principal amount of the Senior Notes - 2013, plus accrued and unpaid interest to the date of repurchase.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- 2007</w:t>
      </w:r>
    </w:p>
    <w:p>
      <w:pPr>
        <w:spacing w:after="0" w:line="173"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On September 27, 2007, the Company issued $500 million of Senior Unsecured Notes (“Senior Notes — 2007”) in four series under the Note Purchase Agreement (“NPA”): (i) $250 million in aggregate principal amount of 6.25% Series A Senior Notes due September 27, 2017, (ii) $100 million in aggregate principal amount of 6.35% Series B Notes due September 27, 2019, (iii) $50 million in aggregate principal amount of 6.50% Series C Notes due September 27, 2022, and (iv) $100 million in aggregate principal amount of 6.79% Series D Notes due September 27, 2027. Proceeds of the offering were used primarily to fund an accelerated repurchase of IFF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- 2006</w:t>
      </w:r>
    </w:p>
    <w:p>
      <w:pPr>
        <w:spacing w:after="0" w:line="173"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In 2006, the Company issued $375 million of Senior Unsecured Notes (“Senior Notes — 2006”) in four series under another NPA: (i) $50 million in aggregate principal amount of 5.89% Series A Senior Notes due July 12, 2009, (ii) $100 million in aggregate principal amount of 5.96% Series B Notes due July 12, 2011, (iii) $100 million in aggregate principal amount of 6.05% Series C Notes due July 12, 2013, and (iv) $125 million in aggregate principal amount of 6.14% Series D Notes due July 12, 2016. Proceeds of the offering were used primarily to repay commercial paper borrowings used to fund our maturing debt. In 2009, 2011 and 2013, the Company repaid $50 million, $100 million and $100 million, respectively, upon maturity of the first three series of the Senior Notes — 2006.</w:t>
      </w:r>
    </w:p>
    <w:p>
      <w:pPr>
        <w:spacing w:after="0" w:line="13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Maturities on our outstanding Senior Notes - 2006, Senior Notes - 2007 and Senior Notes - 2013 at December 31, 2014 were: 2016, $125 million; 2017, $250 million; 2019, $100 million; 2020 and thereafter, $450 million. There is no debt maturing in 2015 and 2018.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9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April 4, 2014, the Company and certain of its subsidiaries amended and restated the Company’s existing credit agreement with Citibank, N.A., as administrative agent. The credit agreement, as amended, provides for a revolving loan facility in an aggregate amount up to an equivalent of $950 million (the "Credit Facility"). Under the Credit Facility, Tranche A is available to borrowers in U.S. dollars, euros, Swiss francs, Japanese yen and British sterling in an aggregate amount up to an equivalent of approximately $456 million, with a sublimit of $25 million for swing line borrowings. Tranche B of the Credit Facility is available to borrowers in euros, Swiss francs, Japanese yen and British sterling in an aggregate amount up to an equivalent of approximately $494 million.</w:t>
      </w:r>
    </w:p>
    <w:p>
      <w:pPr>
        <w:spacing w:after="0" w:line="215"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Credit Facility is available for general corporate purposes of each borrower and its subsidiaries. The obligations under the Credit Facility are unsecured and the Company has guaranteed the obligations of each other borrower under the Credit Facility. The 2014 amendment to the Credit Facility extended the maturity date of the facility to April 4, 2019, which may be extended for up to two additional one-year periods at the Company’s request, subject to the agreement of the lenders having commitments representing more than 50% of the aggregate commitments of all lenders under the Credit Facility. Borrowings under the Credit Facility bear interest at an annual rate of LIBOR plus a margin, currently 112.5 bps, linked to our credit rating. The Company pays a commitment fee on the aggregate unused commitments; such fee is not material. The Credit Facility contains various affirmative and negative covenants, including the requirement for the Company to maintain, at the end of each fiscal quarter, a ratio of net debt for borrowed money to adjusted EBITDA (Earnings Before Interest, Taxes, Depreciation and Amortization) in respect of the previous 12-month period of not more than 3.25 to 1. As of December 31, 2014, the Company was in compliance with all covenants under this Credit Facility. The Company had no borrowings outstanding under the Credit Facility as of December 31, 2014, with $940.4 million still available for additional borrowings. As the Credit Facility is a multi-year revolving credit agreement, the Company classifies as long-term debt the portion that it has the intent and ability to maintain outstanding longer than 12 months.</w:t>
      </w:r>
    </w:p>
    <w:p>
      <w:pPr>
        <w:spacing w:after="0" w:line="139"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Credit facility borrowings and bank overdrafts were outstanding in several countries and averaged $3 million in 2014 and $72.4 million in 2013. The highest levels were $8 million in 2014, $296 million in 2013, and $297 million in 2012. The 2014 weighted average interest rate of these borrowings, based on balances outstanding at the end of each month, was 4.13%. These rates compare with 0.35% and 1.5%, respectively, in 2013 and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742"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estimated fair value at December 31, 2014 of our Senior Notes — 2007, Senior Notes — 2006 and Senior Notes — 2013 was approximately $588 million, $133 million and $296 million, respectively, and is discussed in further detail in Note 14.</w:t>
      </w:r>
    </w:p>
    <w:p>
      <w:pPr>
        <w:spacing w:after="0" w:line="108"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2013, the Company entered into multiple interest rate swap agreements effectively converting the fixed rate on a portion of our long-term Senior Notes to a variable short-term rate based on the LIBOR plus an interest markup.</w:t>
      </w:r>
    </w:p>
    <w:p>
      <w:pPr>
        <w:spacing w:after="0" w:line="108"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In March 2008, the Company realized an $18 million gain on the termination of an interest rate swap, which has been deferred and is being amortized as a reduction to interest expense over the remaining term of the related debt. The balance of this deferred gain was $5 million at December 31, 2014.</w:t>
      </w:r>
    </w:p>
    <w:p>
      <w:pPr>
        <w:spacing w:after="0" w:line="10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Earnings before income taxes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income (loss) before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Foreign income before taxes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531,411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505,937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464,723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before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549,061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485,210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443,415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The income tax provision consisted of the following: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67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6700" w:type="dxa"/>
            <w:vAlign w:val="bottom"/>
            <w:tcBorders>
              <w:bottom w:val="single" w:sz="8" w:color="CCEEFF"/>
            </w:tcBorders>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Foreign</w:t>
            </w:r>
            <w:r>
              <w:rPr>
                <w:rFonts w:ascii="Times New Roman" w:cs="Times New Roman" w:eastAsia="Times New Roman" w:hAnsi="Times New Roman"/>
                <w:sz w:val="25"/>
                <w:szCs w:val="25"/>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109,729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122,246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197,335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111,168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132,150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205,159</w:t>
            </w:r>
          </w:p>
        </w:tc>
        <w:tc>
          <w:tcPr>
            <w:tcW w:w="0" w:type="dxa"/>
            <w:vAlign w:val="bottom"/>
          </w:tcPr>
          <w:p>
            <w:pPr>
              <w:spacing w:after="0"/>
              <w:rPr>
                <w:sz w:val="1"/>
                <w:szCs w:val="1"/>
                <w:color w:val="auto"/>
              </w:rPr>
            </w:pPr>
          </w:p>
        </w:tc>
      </w:tr>
      <w:tr>
        <w:trPr>
          <w:trHeight w:val="22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Foreign</w:t>
            </w:r>
            <w:r>
              <w:rPr>
                <w:rFonts w:ascii="Times New Roman" w:cs="Times New Roman" w:eastAsia="Times New Roman" w:hAnsi="Times New Roman"/>
                <w:sz w:val="25"/>
                <w:szCs w:val="25"/>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134,518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131,666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189,281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140" w:firstLine="8"/>
        <w:spacing w:after="0" w:line="255"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2012, the foreign current income tax provision includes $72 million of Spanish tax charges and $12 million of charges related to the Spanish dividend withholding cases. For the year ended December 31, 2012, the foreign deferred income tax provision includes an $11 million tax benefit from the corporate restructuring of certain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19"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between the U.S. federal statutory income tax rate to our actual effective tax rate is as follows:</w:t>
      </w:r>
    </w:p>
    <w:p>
      <w:pPr>
        <w:spacing w:after="0" w:line="165"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24765</wp:posOffset>
            </wp:positionV>
            <wp:extent cx="3121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80" w:type="dxa"/>
            <w:vAlign w:val="bottom"/>
            <w:gridSpan w:val="2"/>
          </w:tcPr>
          <w:p>
            <w:pPr>
              <w:ind w:left="71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tax rate</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Difference in effective tax rate on foreign earnings and remittances</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 net of reversals</w:t>
            </w:r>
          </w:p>
        </w:tc>
        <w:tc>
          <w:tcPr>
            <w:tcW w:w="6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restructuring of certain foreign subsidiaries</w:t>
            </w:r>
          </w:p>
        </w:tc>
        <w:tc>
          <w:tcPr>
            <w:tcW w:w="1640" w:type="dxa"/>
            <w:vAlign w:val="bottom"/>
            <w:gridSpan w:val="3"/>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Spanish tax charges</w:t>
            </w:r>
          </w:p>
        </w:tc>
        <w:tc>
          <w:tcPr>
            <w:tcW w:w="1640" w:type="dxa"/>
            <w:vAlign w:val="bottom"/>
            <w:tcBorders>
              <w:bottom w:val="single" w:sz="8" w:color="CCEEFF"/>
            </w:tcBorders>
            <w:gridSpan w:val="3"/>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w:t>
            </w:r>
          </w:p>
        </w:tc>
      </w:tr>
      <w:tr>
        <w:trPr>
          <w:trHeight w:val="243"/>
        </w:trPr>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Spanish dividend withholdings</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local taxes</w:t>
            </w:r>
          </w:p>
        </w:tc>
        <w:tc>
          <w:tcPr>
            <w:tcW w:w="6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effective tax rate reflects the benefit from having significant operations outside the U.S. that are taxed at rates that are lower than the U.S. federal rate of 35%. Included in the 2014 effective tax rate is a $3.8 million tax benefit related to the reserve reversal for the 2001 Spanish dividend withholding tax case. Included in the 2013 effective tax rate is a $6.2 million tax charge related to the 2002-2003 Spanish income tax cases as discussed below. Included in the 2012 effective tax rate is $72.4 million of tax charges pursuant to the Spanish tax settlement. The 2014, 2013 and 2012 effective tax rates were also favorably impacted by the reversals of liabilities for uncertain tax positions of $2 million, $5 million and $1 million, respectively, principally due to statutory expiry and effective settlement.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deferred tax assets consist of the following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and retiree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164,542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136,370</w:t>
            </w:r>
          </w:p>
        </w:tc>
        <w:tc>
          <w:tcPr>
            <w:tcW w:w="0" w:type="dxa"/>
            <w:vAlign w:val="bottom"/>
          </w:tcPr>
          <w:p>
            <w:pPr>
              <w:spacing w:after="0"/>
              <w:rPr>
                <w:sz w:val="1"/>
                <w:szCs w:val="1"/>
                <w:color w:val="auto"/>
              </w:rPr>
            </w:pPr>
          </w:p>
        </w:tc>
      </w:tr>
      <w:tr>
        <w:trPr>
          <w:trHeight w:val="270"/>
        </w:trPr>
        <w:tc>
          <w:tcPr>
            <w:tcW w:w="834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Credit and net operating loss carryforwards</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180,296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311,562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Trademarks and 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149,695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189,536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Amortizable R&amp;D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42,303</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553,560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696,029</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00" w:type="dxa"/>
            <w:vAlign w:val="bottom"/>
            <w:tcBorders>
              <w:bottom w:val="single" w:sz="8" w:color="CCEEFF"/>
            </w:tcBorders>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Valuation allowance</w:t>
            </w:r>
            <w:r>
              <w:rPr>
                <w:rFonts w:ascii="Times New Roman" w:cs="Times New Roman" w:eastAsia="Times New Roman" w:hAnsi="Times New Roman"/>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(355,568)</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(503,990)</w:t>
            </w: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197,992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192,039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 w:hanging="412"/>
        <w:spacing w:after="0" w:line="255" w:lineRule="auto"/>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2014 and 2013, the Company decreased its deferred tax assets by $81 million and $30 million, respectively, relating to an adjustment to the 2013 and 2012 foreign net operating loss carryforwards, respectively. The entire decreases of $81 million and $30 million were offset by corresponding decreases in valuation allowances. These adjustments are not considered material to the previously issued financial statements.</w:t>
      </w:r>
    </w:p>
    <w:p>
      <w:pPr>
        <w:spacing w:after="0" w:line="186"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Net operating loss carryforwards were $141 million and $264 million at December 31, 2014 and 2013, respectively. If unused, $5 million will expire between 2015 and 2034. The remainder, totaling $136 million, may be carried forward indefinitely. Tax credit carryforwards were $40 million and $48 million at December 31, 2014 and 2013, respectively. If unused, the credit carryforwards will expire between 2015 and 2034.</w:t>
      </w:r>
    </w:p>
    <w:p>
      <w:pPr>
        <w:spacing w:after="0" w:line="122"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U.S. consolidated group has historically generated taxable income after the inclusion of foreign dividends. As such, the Company is not in a federal net operating loss position. This allows IFF and its U.S. subsidiaries to realize tax benefits from the reversal of temporary differences and the utilization of its federal tax credits before the expiration of the applicable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19"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carryforward periods. The Company has not factored any future trends, other than inflation, in its U.S. taxable income projections. The corresponding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taxable income is sufficient to realize $160.3 million in deferred tax assets as of December 31, 2014.</w:t>
      </w:r>
    </w:p>
    <w:p>
      <w:pPr>
        <w:spacing w:after="0" w:line="20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majority of states in the U.S. where IFF and its subsidiaries file income tax returns allow a 100% foreign dividend exclusion, effectively converting the domestic companies’ reversing temporary differences into net operating losses. As there is significant doubt with respect to realizability of these net operating losses, we have established a full valuation allowance against these deferred tax assets.</w:t>
      </w:r>
    </w:p>
    <w:p>
      <w:pPr>
        <w:spacing w:after="0" w:line="12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Of the $181 million deferred tax asset for net operating loss carryforwards and credits at December 31, 2014, we consider it unlikely that a portion of the tax benefit will be realized. Accordingly, a valuation allowance of $138 million of net operating loss carryforwards and $8 million of tax credits has been established against these deferred tax assets, respectively. In addition, due to realizability concerns, we established a valuation allowance against certain other net deferred tax assets of $210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8"/>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of unrecognized tax benefits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67,615</w:t>
            </w:r>
          </w:p>
        </w:tc>
      </w:tr>
      <w:tr>
        <w:trPr>
          <w:trHeight w:val="225"/>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Gross amount of increases in unrecognized tax benefits as a result of positions taken during</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 prior year</w:t>
            </w:r>
          </w:p>
        </w:tc>
        <w:tc>
          <w:tcPr>
            <w:tcW w:w="3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22,031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6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amount of decreases in unrecognized tax benefits as a result of positions taken during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 prior year</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25"/>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Gross amount of increases in unrecognized tax benefits as a result of positions taken during</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current year</w:t>
            </w:r>
          </w:p>
        </w:tc>
        <w:tc>
          <w:tcPr>
            <w:tcW w:w="3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3,854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6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amounts of decreases in unrecognized benefits relating to settlements with taxing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authorities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(48,355)</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Reduction in unrecognized tax benefits due to the lapse of applicable statute of limitation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of unrecognized tax benefits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21,553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41,153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At December 31, 2014, 2013 and 2012, there are $22.3 million, $21.6 million, and $36.4 million, respectively, of unrecognized tax benefits recorded to Other liabilities and $0.7 million and $4.8 million recorded to Other current liabilities for 2014 and 2012, respectively. If these unrecognized tax benefits were recognized, all the benefits and related interest would be recorded as a benefit to income tax expense.</w:t>
      </w:r>
    </w:p>
    <w:p>
      <w:pPr>
        <w:spacing w:after="0" w:line="17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2014, the Company reduced its liabilities for interest and penalties by $0.1 million, net, and $5.2 million, net, and $5.3 million, net for the years ended 2013 and 2012, respectively, principally due to payments made pursuant to the Spanish tax settlement, as discussed below. At December 31, 2014, 2013 and 2012, we had accrued $1.7 million, $2.3 million and $7.4 million, respectively, of interest and penalties classified as Other liabilities and $0.5 million in 2014 recorded to Other current liabilities.</w:t>
      </w:r>
    </w:p>
    <w:p>
      <w:pPr>
        <w:spacing w:after="0" w:line="126"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2014, the Company’s aggregate provisions for uncertain tax positions, including interest and penalties, was $25.2 million, which includes $2.3 million associated with the tax positions taken by our Spanish subsidiaries for the 2002 fiscal year (as discussed below) and the remainder associated with various other tax positions asserted in foreign jurisdictions, none of which is individually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Tax benefits credited to Shareholders’ equity totaled $0.2 million, $0.6 million and $0.4 million for 2014, 2013 and 2012, respectively, associated with stock option exercises and Purchased Restricted Stock ("PRS") dividends.</w:t>
      </w:r>
    </w:p>
    <w:p>
      <w:pPr>
        <w:spacing w:after="0" w:line="108"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U.S. income taxes and foreign withholding taxes associated with the repatriation of earnings of its foreign subsidiaries were not provided on a cumulative total of $1.5 billion of undistributed earnings of foreign subsidiaries. We intend to, and have plans to, reinvest these earnings indefinitely in our foreign subsidiaries to fund local operations and/or capital projects. The unrecognized deferred tax liability on these undistributed earnings approximates $219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742" w:right="239" w:bottom="1440" w:gutter="0" w:footer="0" w:header="0"/>
        </w:sectPr>
      </w:pPr>
    </w:p>
    <w:bookmarkStart w:id="65" w:name="page66"/>
    <w:bookmarkEnd w:id="65"/>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Company has ongoing income tax audits and legal proceedings which are at various stages of administrative or judicial review, of which the material items are discussed below. In addition, the Company has other ongoing tax audits and legal proceedings that relate to indirect taxes, such as value-added taxes, capital tax, sales and use and property taxes, which are discussed in Note 17.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Spanish Tax Items</w:t>
      </w:r>
    </w:p>
    <w:p>
      <w:pPr>
        <w:spacing w:after="0" w:line="173"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During 2012 the Company and the Spanish tax authorities entered into an overall settlement with respect to assessments imposed in connection with audits for the 2004-2010 fiscal years. In connection with this settlement, the Company paid Euro 84.0 million ($105.5 million based on exchange rates at the respective payment dates) during 2012 and paid the remainder of Euro 1.5 million ($1.9 million based on the exchange rate at the payment date) in 2013. This settlement did not address either the 2002-2003 fiscal years or the 2011 fiscal year. Also during 2012, the Company and the Spanish tax authorities finalized a multi-year agreement that established the tax basis for the Company’s activities in Spain for 2012 through 2014 consistent with the key principles preliminarily agreed upon as part of the overall settlement.</w:t>
      </w:r>
    </w:p>
    <w:p>
      <w:pPr>
        <w:spacing w:after="0" w:line="134" w:lineRule="exact"/>
        <w:rPr>
          <w:sz w:val="20"/>
          <w:szCs w:val="20"/>
          <w:color w:val="auto"/>
        </w:rPr>
      </w:pPr>
    </w:p>
    <w:p>
      <w:pPr>
        <w:jc w:val="both"/>
        <w:ind w:right="380" w:firstLine="432"/>
        <w:spacing w:after="0" w:line="282" w:lineRule="auto"/>
        <w:rPr>
          <w:sz w:val="20"/>
          <w:szCs w:val="20"/>
          <w:color w:val="auto"/>
        </w:rPr>
      </w:pPr>
      <w:r>
        <w:rPr>
          <w:rFonts w:ascii="Times New Roman" w:cs="Times New Roman" w:eastAsia="Times New Roman" w:hAnsi="Times New Roman"/>
          <w:sz w:val="18"/>
          <w:szCs w:val="18"/>
          <w:color w:val="auto"/>
        </w:rPr>
        <w:t>During 2013, the Company reached a settlement with the Spanish tax authorities related to the 2011 fiscal year audit, on a basis consistent with the overall settlement reached for the 2004-2010 fiscal year audits, and paid Euro 3.9 million ($5.2 million based on the exchange rate at the payment date).</w:t>
      </w:r>
    </w:p>
    <w:p>
      <w:pPr>
        <w:spacing w:after="0" w:line="108"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With respect to the audits of 2002-2003 fiscal years, the Spanish tax authorities imposed assessments aggregating Euro 22.4 million ($28.6 million), including aggregate estimated interest. The Company appealed these assessments, however, in February 2013, the Appellate Court upheld the administrative ruling with respect to the 2003 tax assessment and the related tax avoidance claims. The Company decided not to pursue the appeals process with respect to the 2003 tax assessment and paid Euro 20.8 million ($27.3 million based on the exchange rate at the respective payment dates) in connection with the 2003 tax assessment in 2013. In June 2013, the Appellate Court ruled against us on our appeal of the 2002 income tax assessment and related claims, which the Company also decided not to appeal. However, this case did not have a related tax exposure associated with it. In an unrelated matter, there was a remaining aggregate assessment related to the 2002 fiscal year of Euro 1.9 million ($2.3 million) as of December 31, 2014. To proceed with its appeal of the tax assessment for the 2002 fiscal year, the Company was required to post bank guarantees. As of December 31, 2014, the Company had remaining posted bank guarantees of Euro 1.9 million ($2.3 million) associated with the 2002 appeal. On February 11, 2015, the Company received a favorable ruling on this appeal.</w:t>
      </w:r>
    </w:p>
    <w:p>
      <w:pPr>
        <w:spacing w:after="0" w:line="18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addition to the above, the Company has also been a party to four dividend withholding tax controversies in Spain in which the Spanish tax authorities alleged that the Company’s Spanish subsidiaries underpaid withholding taxes during the 1995-2001 fiscal years. The Company had previously appealed each of these controversies. During 2012, the Company received unfavorable decisions on the first three cases. As a result of these rulings, during 2012 the Company (i) recorded charges (including estimated interest) of approximately $12.0 million after-tax and (ii) made payments of Euro 9.8 million ($12.8 million based on exchange rate at the respective payment dates). At December 31, 2014, the Company had Euro 4.7 million ($5.6 million) reflected in income taxes payable in connection with these three cases. The fourth case was heard by the Spanish National High Court in October, 2014 and we received a favorable ruling. Accordingly, during the fourth quarter of 2014, we reversed the total reserve related to the 2001 fiscal year (with a value of Euro 3.6 million of $4.3 million). As of December 31, 2014, the Company had posted bank guarantees of Euro 4.7 million ($5.6 million) in order to proceed with the appeals of the interest portion of these three remaining controversies.</w:t>
      </w:r>
    </w:p>
    <w:p>
      <w:pPr>
        <w:spacing w:after="0" w:line="135"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In addition, the Company has several other tax audits in process and has open tax years with various taxing jurisdictions that range primarily from 2004 to 2013. Based on currently available information, we do not believe the ultimate outcome of any of these tax audits and other tax positions related to open tax years, when finalized, will have a material impact on our financial position.</w:t>
      </w:r>
    </w:p>
    <w:p>
      <w:pPr>
        <w:spacing w:after="0" w:line="1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10.</w:t>
        <w:tab/>
        <w:t>SHAREHOLDERS’ EQUITY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92" w:lineRule="exact"/>
        <w:rPr>
          <w:sz w:val="20"/>
          <w:szCs w:val="20"/>
          <w:color w:val="auto"/>
        </w:rPr>
      </w:pPr>
    </w:p>
    <w:p>
      <w:pPr>
        <w:ind w:right="20" w:firstLine="432"/>
        <w:spacing w:after="0" w:line="272" w:lineRule="auto"/>
        <w:rPr>
          <w:sz w:val="20"/>
          <w:szCs w:val="20"/>
          <w:color w:val="auto"/>
        </w:rPr>
      </w:pPr>
      <w:r>
        <w:rPr>
          <w:rFonts w:ascii="Times New Roman" w:cs="Times New Roman" w:eastAsia="Times New Roman" w:hAnsi="Times New Roman"/>
          <w:sz w:val="17"/>
          <w:szCs w:val="17"/>
          <w:color w:val="auto"/>
        </w:rPr>
        <w:t>Cash dividends declared per share were $1.72, $1.46 and $1.30 in 2014, 2013 and 2012, respectively. The Consolidated Balance Sheet reflects $38.0 million of dividends payable at December 31, 2014. This amount relates to a cash dividend of $0.47 per share declared in December 2014 and paid in January 2015. Dividends declared, but not paid as of December 31, 2013 were $31.7 million ($0.39 per share). There were no dividends payable as of December 31,</w:t>
      </w:r>
    </w:p>
    <w:p>
      <w:pPr>
        <w:spacing w:after="0" w:line="2" w:lineRule="exact"/>
        <w:rPr>
          <w:sz w:val="20"/>
          <w:szCs w:val="20"/>
          <w:color w:val="auto"/>
        </w:rPr>
      </w:pPr>
    </w:p>
    <w:p>
      <w:pPr>
        <w:ind w:right="240"/>
        <w:spacing w:after="0" w:line="449" w:lineRule="auto"/>
        <w:rPr>
          <w:sz w:val="20"/>
          <w:szCs w:val="20"/>
          <w:color w:val="auto"/>
        </w:rPr>
      </w:pPr>
      <w:r>
        <w:rPr>
          <w:rFonts w:ascii="Times New Roman" w:cs="Times New Roman" w:eastAsia="Times New Roman" w:hAnsi="Times New Roman"/>
          <w:sz w:val="18"/>
          <w:szCs w:val="18"/>
          <w:color w:val="auto"/>
        </w:rPr>
        <w:t xml:space="preserve">2012. The decrease in the dividends paid in 2013 versus 2012 is a result of the accelerated payment in December 2012 of the 2012 fourth quarter dividend. </w:t>
      </w:r>
      <w:r>
        <w:rPr>
          <w:rFonts w:ascii="Times New Roman" w:cs="Times New Roman" w:eastAsia="Times New Roman" w:hAnsi="Times New Roman"/>
          <w:sz w:val="18"/>
          <w:szCs w:val="18"/>
          <w:i w:val="1"/>
          <w:iCs w:val="1"/>
          <w:color w:val="auto"/>
        </w:rPr>
        <w:t>Share Repurchases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742" w:right="259" w:bottom="1440" w:gutter="0" w:footer="0" w:header="0"/>
        </w:sectPr>
      </w:pPr>
    </w:p>
    <w:bookmarkStart w:id="66" w:name="page67"/>
    <w:bookmarkEnd w:id="66"/>
    <w:p>
      <w:pPr>
        <w:ind w:right="260" w:firstLine="432"/>
        <w:spacing w:after="0" w:line="276" w:lineRule="auto"/>
        <w:rPr>
          <w:sz w:val="20"/>
          <w:szCs w:val="20"/>
          <w:color w:val="auto"/>
        </w:rPr>
      </w:pPr>
      <w:r>
        <w:rPr>
          <w:rFonts w:ascii="Times New Roman" w:cs="Times New Roman" w:eastAsia="Times New Roman" w:hAnsi="Times New Roman"/>
          <w:sz w:val="17"/>
          <w:szCs w:val="17"/>
          <w:color w:val="auto"/>
        </w:rPr>
        <w:t>In December 2012, the Board of Directors authorized a $250 million share repurchase program, which commenced in the first quarter of 2013 and is expected to be completed by the end of 2016. Based on the total remaining amount of $109 million available under the repurchase program, approximately</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1.1 million shares, or 1.4% of shares outstanding (based on the market price and shares outstanding as of December 31, 2014) could be repurchased under the program as of December 31, 2014. The purchases will be made from time to time on the open market or through private transactions as market and business conditions warrant. Repurchased shares will be placed into treasury stock. The ultimate level of purchases will be a function of the daily purchase limits established in the pre-approved program according to the share price at that time. This plan expires on December 31, 2016.</w:t>
      </w:r>
    </w:p>
    <w:p>
      <w:pPr>
        <w:spacing w:after="0" w:line="12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STOCK COMPENSATION PLANS</w:t>
      </w:r>
    </w:p>
    <w:p>
      <w:pPr>
        <w:spacing w:after="0" w:line="9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We have various equity plans under which our officers, senior management, other key employees and directors may be granted options to purchase IFF common stock or other forms of stock-based awards. Beginning in 2004, we granted Restricted Stock Units (“RSUs”) as the principal element of our equity compensation for all eligible U.S. based employees and a majority of eligible overseas employees. Vesting of the RSUs is solely time based; the vesting period is primarily 3 years from date of grant. For a small group of employees, primarily overseas, we granted stock options prior to 2008.</w:t>
      </w:r>
    </w:p>
    <w:p>
      <w:pPr>
        <w:spacing w:after="0" w:line="126"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cost of all employee stock-based awards are principally recognized on a straight-line attribution basis over their respective vesting periods, net of estimated forfeitures. Total stock-based compensation expense included in our Consolidated Statement of Income and Comprehensive Income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8"/>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Equity-based awards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19,716</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Liability-based awards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3,294</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23,010</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Less tax benefit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net of tax</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18,984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19,322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15,782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shareholders of the Company approved the Company’s 2010 Stock Award and Incentive Plan (the “2010 Plan”) at the Annual Meeting of Shareholders held on April 27, 2010. The 2010 Plan replaced the Company’s 2000 Stock Award and Incentive Plan and the 2000 Supplemental Stock Award Plan (the “2000 Plans”) and provides the source for future deferrals of cash into deferred stock under the Company’s Deferred Compensation Plan (with the Deferred Compensation Plan being deemed a subplan under the 2010 Plan for the sole purpose of funding deferrals under the IFF Share Fund).</w:t>
      </w:r>
    </w:p>
    <w:p>
      <w:pPr>
        <w:spacing w:after="0" w:line="126"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Under the 2010 Plan, a total of 2,749,669 shares are authorized for issuance, including 749,669 shares remaining available under a previous plan that were rolled into the 2010 Plan. At December 31, 2014, 1,206,380 shares were subject to outstanding awards and 1,546,494 shares remained available for future awards under all of the Company’s equity award plans, including the 2010 Plan (excluding shares not yet issued under open cycles of the Company’s Long-Term Incentive Plan).</w:t>
      </w:r>
    </w:p>
    <w:p>
      <w:pPr>
        <w:spacing w:after="0" w:line="18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Company offers a Long-Term Incentive Plan (“LTIP”) for senior management. The targeted payout is 50% cash and 50% IFF stock at the end of the three-year cycle and provides for segmentation in which one-fourth of the award vests during each twelve-month period, with the final one-fourth segment vesting over the full three-year period. The 2011 grant was earned based on the achievement of defined EPS targets and our performance ranking of total shareholder return as a percentile of the S&amp;P 500. Commencing with the 2012-2014 LTIP cycle, the Company used Economic Profit (“EP”), rather than EPS, as one of the two financial metrics of Company performance. EP measures operating profitability after considering (i) all our operating costs, (ii) income taxes and (iii) a charge for the capital employed in the business. When the award is granted, 50% of the target dollar value of the award is converted to a number of “notional” shares based on the closing price at the beginning of the cycle. For those shares whose payout is based on shareholder return as a percentile of the S&amp;P 500, compensation expense is recognized using a graded-vesting attribution method, while compensation expense for the remainder of the performance shares (e.g., EPS targets) is recognized on a straight-line basis over the vesting period based on the probable outcome of the performance condition.</w:t>
      </w:r>
    </w:p>
    <w:p>
      <w:pPr>
        <w:spacing w:after="0" w:line="132"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2010-2012 cycle concluded at the end of 2012 and an aggregate 119,561 shares of our common stock were issued in March 2013. The 2011-2013 cycle concluded at the end of 2013 and an aggregate 65,735 shares of our common stock were issued in March 2014. The 2012-2014 cycle concluded at the end of 2014 and an aggregate 90,062 shares of our common stock will be issued in March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742" w:right="239" w:bottom="1440" w:gutter="0" w:footer="0" w:header="0"/>
        </w:sectPr>
      </w:pPr>
    </w:p>
    <w:bookmarkStart w:id="67" w:name="page68"/>
    <w:bookmarkEnd w:id="67"/>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In 2006, our Board approved the Equity Choice Program (the “Program”) for senior management. This program continues under the 2010 Plan. Eligible employees can choose from among three equity alternatives and will be granted such equity awards up to certain dollar awards depending on the participant’s grade level. A participant may choose among (1) Stock Settled Appreciation Rights ("SSARs"), (2) RSUs or (3) PRS. No stock options were granted in 2014, 2013 or 2012.</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SSARs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SSARs granted become exercisable on the third anniversary of the grant date and have a maximum term of 7 years. No SSARs were granted in 2014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 We granted 54,307 SSARs during 2012.</w:t>
      </w:r>
    </w:p>
    <w:p>
      <w:pPr>
        <w:spacing w:after="0" w:line="153"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We use the Binomial lattice-pricing model as our valuation model for estimating the fair value of SSARs granted. In applying the Binomial model, we utilize historical information to estimate expected term and post-vesting terminations within the model. The expected term of a SSAR is based on historical employee exercise behavior, vesting terms and a contractual life of primarily 7 years. The risk-free interest rate for periods within the expected term of the award is based on the U.S. Treasury yield curve in effect at the time of grant. Expected volatility is based on an average of implied and historical volatility of the price of our common stock over the calculated expected term. We anticipate paying cash dividends in the future and therefore use an expected dividend yield in the valuation model; the cash dividend in effect at the time of grant was employed in this calculation.</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Principal assumptions used in applying the Binomial model in 2012 were: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fair value of SSARs granted during the period</w:t>
            </w:r>
          </w:p>
        </w:tc>
        <w:tc>
          <w:tcPr>
            <w:tcW w:w="168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98"/>
              </w:rPr>
              <w:t>10.39</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Assumptions:</w:t>
            </w: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life, in years</w:t>
            </w: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Termination rate</w:t>
            </w:r>
          </w:p>
        </w:tc>
        <w:tc>
          <w:tcPr>
            <w:tcW w:w="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Exercise multiple</w:t>
            </w: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1.44</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SSARs and options activity were as follows: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8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SSARs/</w:t>
            </w: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16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60"/>
        </w:trPr>
        <w:tc>
          <w:tcPr>
            <w:tcW w:w="6060" w:type="dxa"/>
            <w:vAlign w:val="bottom"/>
            <w:gridSpan w:val="3"/>
            <w:vMerge w:val="continue"/>
          </w:tcPr>
          <w:p>
            <w:pPr>
              <w:spacing w:after="0"/>
              <w:rPr>
                <w:sz w:val="13"/>
                <w:szCs w:val="13"/>
                <w:color w:val="auto"/>
              </w:rPr>
            </w:pPr>
          </w:p>
        </w:tc>
        <w:tc>
          <w:tcPr>
            <w:tcW w:w="1680" w:type="dxa"/>
            <w:vAlign w:val="bottom"/>
            <w:gridSpan w:val="2"/>
          </w:tcPr>
          <w:p>
            <w:pPr>
              <w:jc w:val="right"/>
              <w:ind w:right="268"/>
              <w:spacing w:after="0" w:line="160" w:lineRule="exact"/>
              <w:rPr>
                <w:sz w:val="20"/>
                <w:szCs w:val="20"/>
                <w:color w:val="auto"/>
              </w:rPr>
            </w:pPr>
            <w:r>
              <w:rPr>
                <w:rFonts w:ascii="Times New Roman" w:cs="Times New Roman" w:eastAsia="Times New Roman" w:hAnsi="Times New Roman"/>
                <w:sz w:val="14"/>
                <w:szCs w:val="14"/>
                <w:b w:val="1"/>
                <w:bCs w:val="1"/>
                <w:color w:val="auto"/>
              </w:rPr>
              <w:t>SSARs/Options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center"/>
              <w:ind w:left="28"/>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Balance at December 31, 2013</w:t>
            </w:r>
          </w:p>
        </w:tc>
        <w:tc>
          <w:tcPr>
            <w:tcW w:w="1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315</w:t>
            </w:r>
          </w:p>
        </w:tc>
        <w:tc>
          <w:tcPr>
            <w:tcW w:w="60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0" w:type="dxa"/>
            <w:vAlign w:val="bottom"/>
            <w:gridSpan w:val="3"/>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50.45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60.39</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Balance at Balance at December 31, 2014</w:t>
            </w:r>
          </w:p>
        </w:tc>
        <w:tc>
          <w:tcPr>
            <w:tcW w:w="16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51.13</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exercise price of our SSARs and options exercisable at December 31, 2014, 2013 and 2012 were $47.92, $41.70 and $37.64, respectively. The following tables summarize information concerning currently outstanding and exercisable SSARs and options.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SSARs and options outstanding at December 31, 2014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3"/>
                <w:szCs w:val="13"/>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44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4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60"/>
        </w:trPr>
        <w:tc>
          <w:tcPr>
            <w:tcW w:w="4240" w:type="dxa"/>
            <w:vAlign w:val="bottom"/>
            <w:gridSpan w:val="3"/>
            <w:vMerge w:val="continue"/>
          </w:tcPr>
          <w:p>
            <w:pPr>
              <w:spacing w:after="0"/>
              <w:rPr>
                <w:sz w:val="13"/>
                <w:szCs w:val="13"/>
                <w:color w:val="auto"/>
              </w:rPr>
            </w:pPr>
          </w:p>
        </w:tc>
        <w:tc>
          <w:tcPr>
            <w:tcW w:w="1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8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3"/>
                <w:szCs w:val="13"/>
                <w:color w:val="auto"/>
              </w:rPr>
            </w:pPr>
          </w:p>
        </w:tc>
        <w:tc>
          <w:tcPr>
            <w:tcW w:w="1440" w:type="dxa"/>
            <w:vAlign w:val="bottom"/>
          </w:tcPr>
          <w:p>
            <w:pPr>
              <w:jc w:val="center"/>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 – $30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$31 – $35</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 – $40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$41 – $50</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$51 – $60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$61 – $65</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7,490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8"/>
          <w:szCs w:val="18"/>
          <w:color w:val="auto"/>
        </w:rPr>
        <w:t>SSARs and options exercisable as of December 31, 2014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3"/>
                <w:szCs w:val="13"/>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44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4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60"/>
        </w:trPr>
        <w:tc>
          <w:tcPr>
            <w:tcW w:w="4240" w:type="dxa"/>
            <w:vAlign w:val="bottom"/>
            <w:gridSpan w:val="4"/>
            <w:vMerge w:val="continue"/>
          </w:tcPr>
          <w:p>
            <w:pPr>
              <w:spacing w:after="0"/>
              <w:rPr>
                <w:sz w:val="13"/>
                <w:szCs w:val="13"/>
                <w:color w:val="auto"/>
              </w:rPr>
            </w:pPr>
          </w:p>
        </w:tc>
        <w:tc>
          <w:tcPr>
            <w:tcW w:w="1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8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3"/>
                <w:szCs w:val="13"/>
                <w:color w:val="auto"/>
              </w:rPr>
            </w:pPr>
          </w:p>
        </w:tc>
        <w:tc>
          <w:tcPr>
            <w:tcW w:w="1440" w:type="dxa"/>
            <w:vAlign w:val="bottom"/>
          </w:tcPr>
          <w:p>
            <w:pPr>
              <w:jc w:val="center"/>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 – $30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$31 – $35</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$36</w:t>
            </w:r>
          </w:p>
        </w:tc>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$40</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$41</w:t>
            </w: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$50</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$51</w:t>
            </w:r>
          </w:p>
        </w:tc>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$55</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$61</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$65</w:t>
            </w:r>
          </w:p>
        </w:tc>
        <w:tc>
          <w:tcPr>
            <w:tcW w:w="3460" w:type="dxa"/>
            <w:vAlign w:val="bottom"/>
          </w:tcPr>
          <w:p>
            <w:pPr>
              <w:spacing w:after="0"/>
              <w:rPr>
                <w:sz w:val="21"/>
                <w:szCs w:val="21"/>
                <w:color w:val="auto"/>
              </w:rPr>
            </w:pP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intrinsic value of options/SSARs exercised during 2014, 2013 and 2012 totaled $7 million, $11 million and $11 million, respectively.</w:t>
      </w:r>
    </w:p>
    <w:p>
      <w:pPr>
        <w:spacing w:after="0" w:line="22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$0.1 million of total unrecognized compensation cost related to non-vested SSARs granted; such cost is expected to be recognized over a period of 0.3 years.</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have granted RSUs to eligible employees and directors. Such RSUs are subject to forfeiture if certain employment conditions are not met. RSUs principally vest 100% at the end of 3 years and contain no performance criteria provisions. An RSU’s fair value is calculated based on the market price of our stock at date of grant, with an adjustment to reflect the fact that such awards do not participate in dividend rights. The aggregate fair value is amortized to expense ratably over the vesting period.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RSU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20" w:type="dxa"/>
            <w:vAlign w:val="bottom"/>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1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0"/>
        </w:trPr>
        <w:tc>
          <w:tcPr>
            <w:tcW w:w="7900" w:type="dxa"/>
            <w:vAlign w:val="bottom"/>
            <w:gridSpan w:val="3"/>
            <w:vMerge w:val="continue"/>
          </w:tcPr>
          <w:p>
            <w:pPr>
              <w:spacing w:after="0"/>
              <w:rPr>
                <w:sz w:val="13"/>
                <w:szCs w:val="13"/>
                <w:color w:val="auto"/>
              </w:rPr>
            </w:pPr>
          </w:p>
        </w:tc>
        <w:tc>
          <w:tcPr>
            <w:tcW w:w="1220" w:type="dxa"/>
            <w:vAlign w:val="bottom"/>
          </w:tcPr>
          <w:p>
            <w:pPr>
              <w:jc w:val="center"/>
              <w:ind w:left="408"/>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277"/>
              <w:spacing w:after="0" w:line="160"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64.86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94.19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82.34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74.83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fair value of RSUs which vested during the year ended December 31, 2014 was $19.5 million.</w:t>
      </w:r>
    </w:p>
    <w:p>
      <w:pPr>
        <w:spacing w:after="0" w:line="22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$15.6 million of total unrecognized compensation cost related to non-vested RSUs granted under the equity incentive plans; such cost is expected to be recognized over a weighted average period of 1.8 years.</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Purchased Restricted Stock</w:t>
      </w:r>
    </w:p>
    <w:p>
      <w:pPr>
        <w:spacing w:after="0" w:line="229"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For awards issued in 2012 and prior, PRS provides for eligible employees to purchase restricted shares of IFF stock at 50% of the fair market value on the grant date of the award. The shares generally vest on the third anniversary of the grant date, are subject to continued employment and other specified conditions and pay dividends if and when paid by us. Holders of PRS have, in most instances, all of the rights of stockholders, except that they may not sell, assign, pledge or otherwise encumber such shares. RSUs provide no such rights. In 2013, the terms of PRS were modified such that, for each share put in escrow by the eligible employee, the Company matches with a grant of a share of restricted stock or, for non-U.S. participants, a restricted stock unit. We issued 99,091shares of PRS in 2014 for an aggregate purchase price of $9.7 million covering 49,545 purchased shares, 101,326 shares of PRS in 2013 for $7.8 million covering 50,633 purchased shares and 228,750 shares in 2012 for $6.9 million covering 114,375 purchased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743" w:right="239"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8"/>
          <w:szCs w:val="18"/>
          <w:color w:val="auto"/>
        </w:rPr>
        <w:t>PRS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20" w:type="dxa"/>
            <w:vAlign w:val="bottom"/>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1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0"/>
        </w:trPr>
        <w:tc>
          <w:tcPr>
            <w:tcW w:w="7900" w:type="dxa"/>
            <w:vAlign w:val="bottom"/>
            <w:gridSpan w:val="3"/>
            <w:vMerge w:val="continue"/>
          </w:tcPr>
          <w:p>
            <w:pPr>
              <w:spacing w:after="0"/>
              <w:rPr>
                <w:sz w:val="13"/>
                <w:szCs w:val="13"/>
                <w:color w:val="auto"/>
              </w:rPr>
            </w:pPr>
          </w:p>
        </w:tc>
        <w:tc>
          <w:tcPr>
            <w:tcW w:w="1220" w:type="dxa"/>
            <w:vAlign w:val="bottom"/>
          </w:tcPr>
          <w:p>
            <w:pPr>
              <w:jc w:val="center"/>
              <w:ind w:left="408"/>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277"/>
              <w:spacing w:after="0" w:line="160"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Balance at December 31, 2013</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97.94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62.13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Balance at December 31, 2014</w:t>
            </w:r>
          </w:p>
        </w:tc>
        <w:tc>
          <w:tcPr>
            <w:tcW w:w="12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fair value of PRS which vested during the year ended December 31, 2014 was $14.9 million.</w:t>
      </w:r>
    </w:p>
    <w:p>
      <w:pPr>
        <w:spacing w:after="0" w:line="171"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$6.8 million of total unrecognized compensation cost related to non-vested PRS granted under the equity incentive plans; such cost is expected to be recognized over a weighted average period of 1.8 years.</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Liability Awards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have granted Cash RSUs to eligible employees that are paid out 100% in cash upon vesting. Such RSUs are subject to forfeiture if certain employment conditions are not met. Cash RSUs principally vest 100% at the end of three years and contain no performance criteria provisions. A Cash RSU's fair value is calculated based on the market price of our stock at date of our closing period and is accounted for as a liability award. The aggregate fair value is amortized to expense ratably over the vesting period.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RSU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1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Cash RSUs</w:t>
            </w:r>
          </w:p>
        </w:tc>
        <w:tc>
          <w:tcPr>
            <w:tcW w:w="120" w:type="dxa"/>
            <w:vAlign w:val="bottom"/>
          </w:tcPr>
          <w:p>
            <w:pPr>
              <w:spacing w:after="0"/>
              <w:rPr>
                <w:sz w:val="13"/>
                <w:szCs w:val="13"/>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0" w:type="dxa"/>
            <w:vAlign w:val="bottom"/>
          </w:tcPr>
          <w:p>
            <w:pPr>
              <w:spacing w:after="0"/>
              <w:rPr>
                <w:sz w:val="1"/>
                <w:szCs w:val="1"/>
                <w:color w:val="auto"/>
              </w:rPr>
            </w:pPr>
          </w:p>
        </w:tc>
      </w:tr>
      <w:tr>
        <w:trPr>
          <w:trHeight w:val="160"/>
        </w:trPr>
        <w:tc>
          <w:tcPr>
            <w:tcW w:w="790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Balance at December 31, 2013</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85.94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Balance at December 31, 2014</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fair value of Cash RSUs which vested during the year ended December 31, 2014 was $3.7 million.</w:t>
      </w:r>
    </w:p>
    <w:p>
      <w:pPr>
        <w:spacing w:after="0" w:line="225"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2014, there was $3.7 million of total unrecognized compensation cost related to non-vested Cash RSUs granted under the equity incentive plans; such cost is expected to be recognized over a weighted average period of 1.9 years. The aggregate compensation cost will be adjusted based on changes in the Company’s stock price.</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9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We are organized into two operating segments, Flavors and Fragrances; these segments align with the internal structure used to manage these businesses. Flavor compounds are sold to the food and beverage industries for use in consumer products such as prepared foods, beverages, dairy, food and sweet products. Fragrances is comprised of Fragrance Compounds, which are ultimately used by our customers in two broad categories: Fine Fragrances, including perfumes and colognes and Consumer Fragrances, including fragrance compounds for personal care (e.g., soaps), household products (e.g., detergents and cleaning agents) and beauty care, including toiletries; and Fragrance Ingredients, consisting of synthetic and natural ingredients that can be combined with other materials to create unique fine fragrance and consumer compounds. Major fragrance customers include the cosmetics industry, including perfume and toiletries manufacturers, and the household products industry, including manufacturers of soaps, detergents, fabric care, household cleaners and air fresheners.</w:t>
      </w:r>
    </w:p>
    <w:p>
      <w:pPr>
        <w:spacing w:after="0" w:line="131"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We evaluate the performance of these operating segments based on segment profit which is defined as operating profit before Restructuring, global expenses (as discussed below) and certain non-recurring items, Interest expense, Other income (expense), net and Taxes on income.</w:t>
      </w:r>
    </w:p>
    <w:p>
      <w:pPr>
        <w:spacing w:after="0" w:line="10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Global expenses caption represents corporate and headquarters-related expenses which include legal, finance, human resources, certain incentive compensation expenses and other R&amp;D and administrative expenses that are not allocated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742"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individual operating segments. Unallocated assets are principally cash and cash equivalents and other corporate and headquarters-related assets.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reportable segment information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28"/>
        </w:trPr>
        <w:tc>
          <w:tcPr>
            <w:tcW w:w="65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1,457,055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1,422,739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1,378,377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1,631,478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1,530,157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1,443,069</w:t>
            </w:r>
          </w:p>
        </w:tc>
      </w:tr>
      <w:tr>
        <w:trPr>
          <w:trHeight w:val="237"/>
        </w:trPr>
        <w:tc>
          <w:tcPr>
            <w:tcW w:w="40" w:type="dxa"/>
            <w:vAlign w:val="bottom"/>
          </w:tcPr>
          <w:p>
            <w:pPr>
              <w:spacing w:after="0"/>
              <w:rPr>
                <w:sz w:val="20"/>
                <w:szCs w:val="20"/>
                <w:color w:val="auto"/>
              </w:rPr>
            </w:pPr>
          </w:p>
        </w:tc>
        <w:tc>
          <w:tcPr>
            <w:tcW w:w="65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3,088,533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2,952,896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2,821,446</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48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64"/>
        </w:trPr>
        <w:tc>
          <w:tcPr>
            <w:tcW w:w="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48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9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8"/>
        </w:trPr>
        <w:tc>
          <w:tcPr>
            <w:tcW w:w="658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6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Segment assets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1,539,254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1,573,737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1,753,477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1,623,033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Global assets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201,890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134,961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5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3,494,621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3,331,731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48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r>
      <w:tr>
        <w:trPr>
          <w:trHeight w:val="264"/>
        </w:trPr>
        <w:tc>
          <w:tcPr>
            <w:tcW w:w="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48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198"/>
        </w:trPr>
        <w:tc>
          <w:tcPr>
            <w:tcW w:w="4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28"/>
        </w:trPr>
        <w:tc>
          <w:tcPr>
            <w:tcW w:w="6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6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6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331,257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323,562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298,326</w:t>
            </w:r>
          </w:p>
        </w:tc>
      </w:tr>
      <w:tr>
        <w:trPr>
          <w:trHeight w:val="243"/>
        </w:trPr>
        <w:tc>
          <w:tcPr>
            <w:tcW w:w="40" w:type="dxa"/>
            <w:vAlign w:val="bottom"/>
          </w:tcPr>
          <w:p>
            <w:pPr>
              <w:spacing w:after="0"/>
              <w:rPr>
                <w:sz w:val="21"/>
                <w:szCs w:val="21"/>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335,447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283,651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238,379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Global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(66,942)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(48,419)</w:t>
            </w:r>
          </w:p>
        </w:tc>
      </w:tr>
      <w:tr>
        <w:trPr>
          <w:trHeight w:val="243"/>
        </w:trPr>
        <w:tc>
          <w:tcPr>
            <w:tcW w:w="6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Spanish capital tax charge </w:t>
            </w:r>
            <w:r>
              <w:rPr>
                <w:rFonts w:ascii="Times New Roman" w:cs="Times New Roman" w:eastAsia="Times New Roman" w:hAnsi="Times New Roman"/>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(13,011)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tcBorders>
              <w:bottom w:val="single" w:sz="8" w:color="CCEEFF"/>
            </w:tcBorders>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Operational improvement initiative costs </w:t>
            </w:r>
            <w:r>
              <w:rPr>
                <w:rFonts w:ascii="Times New Roman" w:cs="Times New Roman" w:eastAsia="Times New Roman" w:hAnsi="Times New Roman"/>
                <w:sz w:val="25"/>
                <w:szCs w:val="25"/>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592,321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516,339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486,618</w:t>
            </w:r>
          </w:p>
        </w:tc>
      </w:tr>
      <w:tr>
        <w:trPr>
          <w:trHeight w:val="243"/>
        </w:trPr>
        <w:tc>
          <w:tcPr>
            <w:tcW w:w="6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(46,067)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(46,767)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(41,753)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5"/>
                <w:szCs w:val="25"/>
                <w:color w:val="auto"/>
                <w:vertAlign w:val="superscript"/>
              </w:rPr>
              <w:t>(3)</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(1,450)</w:t>
            </w:r>
          </w:p>
        </w:tc>
      </w:tr>
      <w:tr>
        <w:trPr>
          <w:trHeight w:val="237"/>
        </w:trPr>
        <w:tc>
          <w:tcPr>
            <w:tcW w:w="6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549,061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485,210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443,415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Profit margin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Flavors</w:t>
            </w:r>
          </w:p>
        </w:tc>
        <w:tc>
          <w:tcPr>
            <w:tcW w:w="4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22.7%</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44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Fragrances</w:t>
            </w:r>
          </w:p>
        </w:tc>
        <w:tc>
          <w:tcPr>
            <w:tcW w:w="42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20.6%</w:t>
            </w:r>
          </w:p>
        </w:tc>
        <w:tc>
          <w:tcPr>
            <w:tcW w:w="164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18.5%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w:t>
            </w:r>
          </w:p>
        </w:tc>
        <w:tc>
          <w:tcPr>
            <w:tcW w:w="4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19.2%</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171" w:lineRule="exact"/>
        <w:rPr>
          <w:sz w:val="20"/>
          <w:szCs w:val="20"/>
          <w:color w:val="auto"/>
        </w:rPr>
      </w:pPr>
    </w:p>
    <w:p>
      <w:pPr>
        <w:ind w:right="40" w:firstLine="8"/>
        <w:spacing w:after="0" w:line="235" w:lineRule="auto"/>
        <w:tabs>
          <w:tab w:leader="none" w:pos="192"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Spanish capital tax charge represents the charge recorded during the year ended December 31, 2013 as a result of the unfavorable ruling of the Spanish capital tax case from 2002.</w:t>
      </w:r>
    </w:p>
    <w:p>
      <w:pPr>
        <w:spacing w:after="0" w:line="143" w:lineRule="exact"/>
        <w:rPr>
          <w:rFonts w:ascii="Times New Roman" w:cs="Times New Roman" w:eastAsia="Times New Roman" w:hAnsi="Times New Roman"/>
          <w:sz w:val="23"/>
          <w:szCs w:val="23"/>
          <w:color w:val="auto"/>
          <w:vertAlign w:val="superscript"/>
        </w:rPr>
      </w:pPr>
    </w:p>
    <w:p>
      <w:pPr>
        <w:ind w:right="60" w:firstLine="8"/>
        <w:spacing w:after="0" w:line="235" w:lineRule="auto"/>
        <w:tabs>
          <w:tab w:leader="none" w:pos="192"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Operational improvement initiative costs relate to the closing of a smaller facility in Europe and certain manufacturing activities in Asia, while transferring production to larger facilities in each respective region.</w:t>
      </w:r>
    </w:p>
    <w:p>
      <w:pPr>
        <w:spacing w:after="0" w:line="102" w:lineRule="exact"/>
        <w:rPr>
          <w:rFonts w:ascii="Times New Roman" w:cs="Times New Roman" w:eastAsia="Times New Roman" w:hAnsi="Times New Roman"/>
          <w:sz w:val="23"/>
          <w:szCs w:val="23"/>
          <w:color w:val="auto"/>
          <w:vertAlign w:val="superscript"/>
        </w:rPr>
      </w:pPr>
    </w:p>
    <w:p>
      <w:pPr>
        <w:ind w:left="200" w:hanging="192"/>
        <w:spacing w:after="0"/>
        <w:tabs>
          <w:tab w:leader="none" w:pos="20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Other income (expense), net includes a $14.2 million gain on the sale of non-operating assets for the year ended December 31, 2013.</w:t>
      </w:r>
    </w:p>
    <w:p>
      <w:pPr>
        <w:spacing w:after="0" w:line="144"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We have not disclosed revenues at a lower level than provided herein, such as revenues from external customers by product, as it is impracticable for us to do so.</w:t>
      </w:r>
    </w:p>
    <w:p>
      <w:pPr>
        <w:spacing w:after="0" w:line="108"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We had one customer that accounted for more than 10% of our consolidated net sales in each year for all periods presented and related net sales were $368 million, $355 million and $320 million in 2014, 2013 and 2012, respectively. The majority of these sales were in the Fragrances operating segment.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742" w:right="239" w:bottom="1440" w:gutter="0" w:footer="0" w:header="0"/>
        </w:sectPr>
      </w:pPr>
    </w:p>
    <w:bookmarkStart w:id="71" w:name="page72"/>
    <w:bookmarkEnd w:id="71"/>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Total long-lived assets consist of net property, plant and equipment and amounted to $720 million and $687 million at December 31, 2014 and 2013, respectively. Of this total $159 million and $163 million was located in the United States at December 31, 2014 and 2013, respectively, and $105 million and $107 million were located in the Netherlands at December 31, 2014 and 2013, respectively.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980" w:type="dxa"/>
            <w:vAlign w:val="bottom"/>
            <w:tcBorders>
              <w:bottom w:val="single" w:sz="8" w:color="auto"/>
            </w:tcBorders>
          </w:tcPr>
          <w:p>
            <w:pPr>
              <w:spacing w:after="0"/>
              <w:rPr>
                <w:sz w:val="16"/>
                <w:szCs w:val="16"/>
                <w:color w:val="auto"/>
              </w:rPr>
            </w:pPr>
          </w:p>
        </w:tc>
      </w:tr>
      <w:tr>
        <w:trPr>
          <w:trHeight w:val="22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91,104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36,008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33,662</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30,816</w:t>
            </w: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3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17,616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43,790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42,987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assets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9,556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2,864</w:t>
            </w:r>
          </w:p>
        </w:tc>
      </w:tr>
      <w:tr>
        <w:trPr>
          <w:trHeight w:val="237"/>
        </w:trPr>
        <w:tc>
          <w:tcPr>
            <w:tcW w:w="40" w:type="dxa"/>
            <w:vAlign w:val="bottom"/>
          </w:tcPr>
          <w:p>
            <w:pPr>
              <w:spacing w:after="0"/>
              <w:rPr>
                <w:sz w:val="20"/>
                <w:szCs w:val="20"/>
                <w:color w:val="auto"/>
              </w:rPr>
            </w:pPr>
          </w:p>
        </w:tc>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143,182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134,157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126,140</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89,354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83,227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76,667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02"/>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Net Sales by Geographic Area</w:t>
            </w:r>
          </w:p>
        </w:tc>
        <w:tc>
          <w:tcPr>
            <w:tcW w:w="980" w:type="dxa"/>
            <w:vAlign w:val="bottom"/>
            <w:tcBorders>
              <w:bottom w:val="single" w:sz="8" w:color="auto"/>
            </w:tcBorders>
          </w:tcPr>
          <w:p>
            <w:pPr>
              <w:spacing w:after="0"/>
              <w:rPr>
                <w:sz w:val="24"/>
                <w:szCs w:val="24"/>
                <w:color w:val="auto"/>
              </w:rPr>
            </w:pPr>
          </w:p>
        </w:tc>
      </w:tr>
      <w:tr>
        <w:trPr>
          <w:trHeight w:val="22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Africa and Middle East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1,041,585</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971,921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912,768</w:t>
            </w: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Greater Asia</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823,504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771,877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680,840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694,430</w:t>
            </w: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Latin America</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476,631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442,371</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3,088,533</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2,952,896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2,821,446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are attributed to individual regions based upon the destination of product delivery. Net sales related to the U.S.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2013 and 2012 were $653 million, $653 million and $662 million, respectively. Net sales attributed to all foreign countries in total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2014, 2013 and 2012 were $2,435 million, $2,300 million and $2,159 million, respectively. No non-U.S. country had net sales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period presented greater than 7.1% of total consolidated net sales.</w:t>
      </w:r>
    </w:p>
    <w:p>
      <w:pPr>
        <w:spacing w:after="0" w:line="1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13.</w:t>
        <w:tab/>
        <w:t>EMPLOYEE BENEFITS</w:t>
      </w:r>
    </w:p>
    <w:p>
      <w:pPr>
        <w:spacing w:after="0" w:line="94"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We have pension and/or other retirement benefit plans covering approximately one-third of active employees. In 2007 the Company amended its U.S. qualified and non-qualified pension plans under which accrual of future benefits was suspended for all participants that did not meet the rule of 70 (age plus years of service equal to at least 70 at December 31, 2007). Pension benefits are generally based on years of service and on compensation during the final years of employment. Plan assets consist primarily of equity securities and corporate and government fixed income securities. Substantially all pension benefit costs are funded as accrued; such funding is limited, where applicable, to amounts deductible for income tax purposes. Certain other retirement benefits are provided by general corporate assets.</w:t>
      </w:r>
    </w:p>
    <w:p>
      <w:pPr>
        <w:spacing w:after="0" w:line="13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sponsor a qualified defined contribution plan covering substantially all U.S. employees. Under this plan, we match 100% of participants’ contributions up to 4% of compensation and 75% of participants’ contributions from over 4% to 8%. Employees that are still eligible to accrue benefits under the defined benefit plan are limited to a 50% match up to 6% of the participants’ compensation.</w:t>
      </w:r>
    </w:p>
    <w:p>
      <w:pPr>
        <w:spacing w:after="0" w:line="12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In addition to pension benefits, certain health care and life insurance benefits are provided to qualifying United States employees upon retirement from IFF. Such coverage is provided through insurance plans with premiums based on benefits paid. We do not generally provide health care or life insurance coverage for retired employees of foreign subsidiaries; such benefits are provided in most foreign countries by government-sponsored plans, and the cost of these programs is not material to us.</w:t>
      </w:r>
    </w:p>
    <w:p>
      <w:pPr>
        <w:spacing w:after="0" w:line="126"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We offer a non-qualified Deferred Compensation Plan (DCP) for certain key employees and non-employee directors. Eligible employees and non-employee directors may elect to defer receipt of salary, incentive payments and Board of Directors’ fees into participant directed investments, which are generally invested by the Company in individual variable life insurance contracts we own that are designed to informally fund savings plans of this nature. The cash surrender value of life insurance is based on the net asset values of the underlying funds available to plan participants. At December 31, 2014 and December 31, 2013, the Consolidated Balance Sheet reflects liabilities of $33.9 million and $29.7 million, respectively, related to the DCP in Other liabilities and $19.0 million and $15.1 million, respectively, included in Capital in excess of par value related to the portion of the DCP that will be paid out in IFF shares.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742" w:right="239" w:bottom="1440" w:gutter="0" w:footer="0" w:header="0"/>
        </w:sectPr>
      </w:pPr>
    </w:p>
    <w:bookmarkStart w:id="72" w:name="page73"/>
    <w:bookmarkEnd w:id="72"/>
    <w:p>
      <w:pPr>
        <w:ind w:firstLine="432"/>
        <w:spacing w:after="0" w:line="282" w:lineRule="auto"/>
        <w:rPr>
          <w:sz w:val="20"/>
          <w:szCs w:val="20"/>
          <w:color w:val="auto"/>
        </w:rPr>
      </w:pPr>
      <w:r>
        <w:rPr>
          <w:rFonts w:ascii="Times New Roman" w:cs="Times New Roman" w:eastAsia="Times New Roman" w:hAnsi="Times New Roman"/>
          <w:sz w:val="18"/>
          <w:szCs w:val="18"/>
          <w:color w:val="auto"/>
        </w:rPr>
        <w:t>The total cash surrender value of life insurance contracts the Company owns in relation to the DCP and post-retirement life insurance benefits amounted to $42.4 million and $56.3 million at December 31, 2014 and 2013, respectively, and are recorded in Other assets in the Consolidated Balance Sheet.</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plan assets and benefit obligations of our defined benefit pension plans are measured at December 31 of each year.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19"/>
              <w:spacing w:after="0"/>
              <w:rPr>
                <w:sz w:val="20"/>
                <w:szCs w:val="20"/>
                <w:color w:val="auto"/>
              </w:rPr>
            </w:pPr>
            <w:r>
              <w:rPr>
                <w:rFonts w:ascii="Times New Roman" w:cs="Times New Roman" w:eastAsia="Times New Roman" w:hAnsi="Times New Roman"/>
                <w:sz w:val="18"/>
                <w:szCs w:val="18"/>
                <w:color w:val="auto"/>
              </w:rPr>
              <w:t>14,142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12,585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33,360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30,944</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amortization of deferrals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6,443</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7,117</w:t>
            </w:r>
          </w:p>
        </w:tc>
        <w:tc>
          <w:tcPr>
            <w:tcW w:w="0" w:type="dxa"/>
            <w:vAlign w:val="bottom"/>
          </w:tcPr>
          <w:p>
            <w:pPr>
              <w:spacing w:after="0"/>
              <w:rPr>
                <w:sz w:val="1"/>
                <w:szCs w:val="1"/>
                <w:color w:val="auto"/>
              </w:rPr>
            </w:pPr>
          </w:p>
        </w:tc>
      </w:tr>
      <w:tr>
        <w:trPr>
          <w:trHeight w:val="225"/>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Defined contribution and other retirement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32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4"/>
          </w:tcPr>
          <w:p>
            <w:pPr>
              <w:jc w:val="right"/>
              <w:ind w:right="19"/>
              <w:spacing w:after="0"/>
              <w:rPr>
                <w:sz w:val="20"/>
                <w:szCs w:val="20"/>
                <w:color w:val="auto"/>
              </w:rPr>
            </w:pPr>
            <w:r>
              <w:rPr>
                <w:rFonts w:ascii="Times New Roman" w:cs="Times New Roman" w:eastAsia="Times New Roman" w:hAnsi="Times New Roman"/>
                <w:sz w:val="18"/>
                <w:szCs w:val="18"/>
                <w:color w:val="auto"/>
              </w:rPr>
              <w:t>6,323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26,010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32,534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30,325</w:t>
            </w:r>
          </w:p>
        </w:tc>
        <w:tc>
          <w:tcPr>
            <w:tcW w:w="3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14,591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11,954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Changes in plan assets and benefit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obligations recognized in OCI</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(gain)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138,652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Recognized prior service cost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w w:val="96"/>
              </w:rPr>
              <w:t>248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20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recognized in OCI (before tax</w:t>
            </w: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33,478</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(64,354)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gridSpan w:val="2"/>
            <w:vMerge w:val="restart"/>
          </w:tcPr>
          <w:p>
            <w:pPr>
              <w:spacing w:after="0"/>
              <w:rPr>
                <w:sz w:val="17"/>
                <w:szCs w:val="17"/>
                <w:color w:val="auto"/>
              </w:rPr>
            </w:pPr>
          </w:p>
        </w:tc>
        <w:tc>
          <w:tcPr>
            <w:tcW w:w="2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4"/>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rPr>
              <w:t>86,771</w:t>
            </w:r>
          </w:p>
        </w:tc>
        <w:tc>
          <w:tcPr>
            <w:tcW w:w="12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31,174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effects)</w:t>
            </w:r>
          </w:p>
        </w:tc>
        <w:tc>
          <w:tcPr>
            <w:tcW w:w="3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gridSpan w:val="4"/>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38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amortization and deferrals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5,243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8"/>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Changes in plan assets and benefit obligations recognized in OCI</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gridSpan w:val="8"/>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(gain)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prior service credit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Total recognized in OCI (before tax effects)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20" w:type="dxa"/>
            <w:vAlign w:val="bottom"/>
            <w:gridSpan w:val="7"/>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rPr>
              <w:t>The amounts expected to be recognized in net periodic cost in 2015 are:</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20" w:type="dxa"/>
            <w:vAlign w:val="bottom"/>
            <w:gridSpan w:val="7"/>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582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4"/>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60"/>
        </w:trPr>
        <w:tc>
          <w:tcPr>
            <w:tcW w:w="32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loss recognition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Prior service cost (credit) recognition</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actuarial</w:t>
            </w: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180" w:type="dxa"/>
            <w:vAlign w:val="bottom"/>
            <w:gridSpan w:val="3"/>
            <w:vMerge w:val="continue"/>
          </w:tcPr>
          <w:p>
            <w:pPr>
              <w:spacing w:after="0"/>
              <w:rPr>
                <w:sz w:val="5"/>
                <w:szCs w:val="5"/>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5"/>
                <w:szCs w:val="5"/>
                <w:color w:val="auto"/>
              </w:rPr>
            </w:pPr>
          </w:p>
        </w:tc>
        <w:tc>
          <w:tcPr>
            <w:tcW w:w="12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5"/>
                <w:szCs w:val="5"/>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5"/>
                <w:szCs w:val="5"/>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5"/>
                <w:szCs w:val="5"/>
                <w:color w:val="auto"/>
              </w:rPr>
            </w:pPr>
          </w:p>
        </w:tc>
        <w:tc>
          <w:tcPr>
            <w:tcW w:w="12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60"/>
        </w:trPr>
        <w:tc>
          <w:tcPr>
            <w:tcW w:w="318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assumption used to determine expense</w:t>
            </w: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3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43"/>
        </w:trPr>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the postretirement benefit obligation and plan assets, as applicable, are detailed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228"/>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9"/>
                <w:szCs w:val="19"/>
                <w:color w:val="auto"/>
              </w:rPr>
            </w:pPr>
          </w:p>
        </w:tc>
        <w:tc>
          <w:tcPr>
            <w:tcW w:w="9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5"/>
        </w:trPr>
        <w:tc>
          <w:tcPr>
            <w:tcW w:w="2740" w:type="dxa"/>
            <w:vAlign w:val="bottom"/>
            <w:gridSpan w:val="3"/>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Benefit obligation at beginning of</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1"/>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544,602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573,706</w:t>
            </w:r>
          </w:p>
        </w:tc>
        <w:tc>
          <w:tcPr>
            <w:tcW w:w="2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818,578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780,164</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105,521</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119,308</w:t>
            </w: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5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16,423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2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 on projected benefit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w:t>
            </w: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25,090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4,503</w:t>
            </w: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Actuarial (gain) loss</w:t>
            </w:r>
          </w:p>
        </w:tc>
        <w:tc>
          <w:tcPr>
            <w:tcW w:w="5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79,855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236,096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amendments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Adjustments for expense/tax</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contained in service cost</w:t>
            </w:r>
          </w:p>
        </w:tc>
        <w:tc>
          <w:tcPr>
            <w:tcW w:w="5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1,022</w:t>
            </w: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Curtailments / 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5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(86,413)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Acquisitions/Transferred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625,479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544,602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965,266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818,578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113,497</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105,521</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78"/>
        </w:trPr>
        <w:tc>
          <w:tcPr>
            <w:tcW w:w="2740" w:type="dxa"/>
            <w:vAlign w:val="bottom"/>
            <w:gridSpan w:val="3"/>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w w:val="99"/>
              </w:rPr>
              <w:t>Fair value of plan assets at beginning</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1"/>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year</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448,851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405,289</w:t>
            </w:r>
          </w:p>
        </w:tc>
        <w:tc>
          <w:tcPr>
            <w:tcW w:w="2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799,670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776,188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5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56,584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135,947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Employer contributions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5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5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Acquisitions/Transferred Assets</w:t>
            </w:r>
          </w:p>
        </w:tc>
        <w:tc>
          <w:tcPr>
            <w:tcW w:w="5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05"/>
        </w:trPr>
        <w:tc>
          <w:tcPr>
            <w:tcW w:w="2740" w:type="dxa"/>
            <w:vAlign w:val="bottom"/>
            <w:gridSpan w:val="3"/>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Fair value of plan assets at end of</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61"/>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501,801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448,851</w:t>
            </w:r>
          </w:p>
        </w:tc>
        <w:tc>
          <w:tcPr>
            <w:tcW w:w="2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852,893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799,670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37"/>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(123,678)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(95,751)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(112,373)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(18,908)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7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960" w:type="dxa"/>
            <w:vAlign w:val="bottom"/>
            <w:tcBorders>
              <w:bottom w:val="single" w:sz="8" w:color="auto"/>
            </w:tcBorders>
          </w:tcPr>
          <w:p>
            <w:pPr>
              <w:spacing w:after="0"/>
              <w:rPr>
                <w:sz w:val="24"/>
                <w:szCs w:val="24"/>
                <w:color w:val="auto"/>
              </w:rPr>
            </w:pPr>
          </w:p>
        </w:tc>
      </w:tr>
      <w:tr>
        <w:trPr>
          <w:trHeight w:val="228"/>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2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Amounts recognized in the balance sheet:</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1"/>
                <w:szCs w:val="21"/>
                <w:color w:val="auto"/>
              </w:rPr>
            </w:pPr>
          </w:p>
        </w:tc>
        <w:tc>
          <w:tcPr>
            <w:tcW w:w="52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14,058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Retirement liabilities</w:t>
            </w: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(119,791)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(32,315)</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amount recognized</w:t>
            </w:r>
          </w:p>
        </w:tc>
        <w:tc>
          <w:tcPr>
            <w:tcW w:w="5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(123,678)</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3"/>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74</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804"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22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80" w:type="dxa"/>
            <w:vAlign w:val="bottom"/>
          </w:tcPr>
          <w:p>
            <w:pPr>
              <w:spacing w:after="0"/>
              <w:rPr>
                <w:sz w:val="19"/>
                <w:szCs w:val="19"/>
                <w:color w:val="auto"/>
              </w:rPr>
            </w:pPr>
          </w:p>
        </w:tc>
        <w:tc>
          <w:tcPr>
            <w:tcW w:w="8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Amounts recognized in AOCI consist of:</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actuarial loss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178,677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145,105</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360,070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263,930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21,057</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0" w:type="dxa"/>
            <w:vAlign w:val="bottom"/>
          </w:tcPr>
          <w:p>
            <w:pPr>
              <w:spacing w:after="0"/>
              <w:rPr>
                <w:sz w:val="1"/>
                <w:szCs w:val="1"/>
                <w:color w:val="auto"/>
              </w:rPr>
            </w:pPr>
          </w:p>
        </w:tc>
      </w:tr>
      <w:tr>
        <w:trPr>
          <w:trHeight w:val="237"/>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AOCI (before tax effects)</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179,064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145,587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349,373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262,600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10,699</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0" w:type="dxa"/>
            <w:vAlign w:val="bottom"/>
          </w:tcPr>
          <w:p>
            <w:pPr>
              <w:spacing w:after="0"/>
              <w:rPr>
                <w:sz w:val="1"/>
                <w:szCs w:val="1"/>
                <w:color w:val="auto"/>
              </w:rPr>
            </w:pPr>
          </w:p>
        </w:tc>
      </w:tr>
      <w:tr>
        <w:trPr>
          <w:trHeight w:val="22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Benefit Obligation — end of year</w:t>
            </w: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616,004</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536,176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942,103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777,188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8"/>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an ABO in excess of Plan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96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625,479</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4"/>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544,602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695,552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43,778</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616,004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color w:val="auto"/>
              </w:rPr>
              <w:t>536,176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672,389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41,991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4"/>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448,851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581,841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18,669</w:t>
            </w:r>
          </w:p>
        </w:tc>
        <w:tc>
          <w:tcPr>
            <w:tcW w:w="0" w:type="dxa"/>
            <w:vAlign w:val="bottom"/>
          </w:tcPr>
          <w:p>
            <w:pPr>
              <w:spacing w:after="0"/>
              <w:rPr>
                <w:sz w:val="1"/>
                <w:szCs w:val="1"/>
                <w:color w:val="auto"/>
              </w:rPr>
            </w:pPr>
          </w:p>
        </w:tc>
      </w:tr>
      <w:tr>
        <w:trPr>
          <w:trHeight w:val="221"/>
        </w:trPr>
        <w:tc>
          <w:tcPr>
            <w:tcW w:w="49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obligations at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502"/>
        </w:trPr>
        <w:tc>
          <w:tcPr>
            <w:tcW w:w="3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6"/>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60"/>
        </w:trPr>
        <w:tc>
          <w:tcPr>
            <w:tcW w:w="32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394"/>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2020 - 2024</w:t>
            </w:r>
          </w:p>
        </w:tc>
        <w:tc>
          <w:tcPr>
            <w:tcW w:w="1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33,627</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40" w:type="dxa"/>
            <w:vAlign w:val="bottom"/>
            <w:gridSpan w:val="5"/>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6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Required Company Contributions in the Following Year (2015)</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4,156</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5,085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consider a number of factors in determining and selecting assumptions for the overall expected long-term rate of return on plan assets. We consider the historical long-term return experience of our assets, the current and expected allocation of our plan assets and expected long-term rates of return. We derive these expected long-term rates of return with the assistance of our investment advisors. We base our expected allocation of plan assets on a diversified portfolio consisting of domestic and international equity securities, fixed income, real estate and alternative asset classes. The asset allocation is monitored on an ongoing basis.</w:t>
      </w:r>
    </w:p>
    <w:p>
      <w:pPr>
        <w:spacing w:after="0" w:line="13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consider a variety of factors in determining and selecting our assumptions for the discount rate at December 31. For the U.S. plans, the discount rate was based on the internal rate of return for a portfolio of Moody’s Aaa, Aa and Merrill Lynch AAA-AA high quality bonds with maturities that are consistent with the projected future benefit payment obligations of the plan. The rate of compensation increase for all plans and the medical cost trend rate for the applicable U.S. plans are based on plan experience.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804"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0" w:type="dxa"/>
            <w:vAlign w:val="bottom"/>
            <w:tcBorders>
              <w:bottom w:val="single" w:sz="8" w:color="auto"/>
            </w:tcBorders>
          </w:tcPr>
          <w:p>
            <w:pPr>
              <w:spacing w:after="0"/>
              <w:rPr>
                <w:sz w:val="16"/>
                <w:szCs w:val="16"/>
                <w:color w:val="auto"/>
              </w:rPr>
            </w:pPr>
          </w:p>
        </w:tc>
      </w:tr>
      <w:tr>
        <w:trPr>
          <w:trHeight w:val="264"/>
        </w:trPr>
        <w:tc>
          <w:tcPr>
            <w:tcW w:w="6020" w:type="dxa"/>
            <w:vAlign w:val="bottom"/>
            <w:gridSpan w:val="2"/>
          </w:tcPr>
          <w:p>
            <w:pPr>
              <w:ind w:left="56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15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assets invested in:</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Equities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Alternative and other investments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71" w:lineRule="exact"/>
        <w:rPr>
          <w:sz w:val="20"/>
          <w:szCs w:val="20"/>
          <w:color w:val="auto"/>
        </w:rPr>
      </w:pPr>
    </w:p>
    <w:p>
      <w:pPr>
        <w:jc w:val="both"/>
        <w:ind w:right="100" w:firstLine="432"/>
        <w:spacing w:after="0" w:line="313" w:lineRule="auto"/>
        <w:rPr>
          <w:sz w:val="20"/>
          <w:szCs w:val="20"/>
          <w:color w:val="auto"/>
        </w:rPr>
      </w:pPr>
      <w:r>
        <w:rPr>
          <w:rFonts w:ascii="Times New Roman" w:cs="Times New Roman" w:eastAsia="Times New Roman" w:hAnsi="Times New Roman"/>
          <w:sz w:val="17"/>
          <w:szCs w:val="17"/>
          <w:color w:val="auto"/>
        </w:rPr>
        <w:t>With respect to the U.S. plans, the expected return on plan assets was determined based on an asset allocation model using the current target allocation, real rates of return by asset class and an anticipated inflation rate. The target investment allocation is 40% equity securities and 60% fixed income securities.</w:t>
      </w:r>
    </w:p>
    <w:p>
      <w:pPr>
        <w:spacing w:after="0" w:line="8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expected annual rate of return for the non-U.S. plans employs a similar set of criteria adapted for local investments, inflation rates and in certain cases specific government requirements. The target asset allocation, for the non-U.S. plans, consists of approximately: 40% – 60% in fixed income securities; 20% – 40% in equity securities; 5% – 20% in real estate; and 5% – 10% in alternative investments.</w:t>
      </w:r>
    </w:p>
    <w:p>
      <w:pPr>
        <w:spacing w:after="0" w:line="122"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plan assets for the U.S. and non-U.S. plans using the fair value hierarchy as of December 31, 2014 and 2013. Our plans’ assets were accounted for at fair value and are classified in their entirety based on the lowest level of input that is significant to the fair value measurement. Our assessment of the significance of a particular input to the fair value measurement requires judgment, and may affect the valuation of fair value assets and their placement within the fair value hierarchy levels. For more information on a description of the fair value hierarchy, see Note 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U.S. Plans for the year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37,278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37,278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Common Stock</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Pooled Funds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154,559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Government &amp; Government Agency Bonds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212,007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212,007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63,057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63,057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38,913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462,442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501,355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33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501,801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vMerge w:val="restart"/>
          </w:tcPr>
          <w:p>
            <w:pPr>
              <w:jc w:val="right"/>
              <w:ind w:right="77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4"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 Plans for the year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38,993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38,993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Common Stock</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Pooled Funds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165,670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165,670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Government &amp; Government Agency Bonds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158,646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158,646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54,699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54,699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7,440</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39,336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408,800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448,136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33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448,851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6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Non-U.S. Plans for the year ended</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gridSpan w:val="5"/>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Large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73,147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Large Cap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83,671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89,524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Mid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Small Cap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Emerging Markets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52,664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53,878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Treasuries/Government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Treasuries/Government Bonds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100,544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263,687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Corporate Bonds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186,837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249,467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Other Fixed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Alternative Types of Investments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Absolute Return Funds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Private Equity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56,346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61,253</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440,606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392,599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852,893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3"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Non-U.S. Plans for the year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11,956</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Large Cap</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40,274</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Large Cap</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92,551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105,334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Mid Cap</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Small Cap</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Emerging Markets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57,689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57,689</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Treasuries/Government Bonds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 Corporate Bonds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Treasuries/Government Bonds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75,131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195,782</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Corporate Bonds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65,443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189,707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255,150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17,895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Other Fixed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1,205</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Alternative Types of Investments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15,280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928</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Absolute Return Funds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31,253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Private Equity Funds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58,660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66,119</w:t>
            </w: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391,495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385,429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22,746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799,670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Cash and cash equivalents are primarily held in registered money market funds which are valued using a market approach based on the quoted market prices of identical instruments. Other cash and cash equivalents are valued daily by the fund using a market approach with inputs that include quoted market prices for similar instruments.</w:t>
      </w:r>
    </w:p>
    <w:p>
      <w:pPr>
        <w:spacing w:after="0" w:line="122"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Equity securities are primarily valued using a market approach based on the quoted market prices of identical instruments. Pooled funds are typically common or collective trusts valued at their net asset values (NAVs).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Fixed income securities are primarily valued using a market approach with inputs that include broker quotes and benchmark yields.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Derivative instruments are valued by the custodian using closing market swap curves and market derived inputs.</w:t>
      </w:r>
    </w:p>
    <w:p>
      <w:pPr>
        <w:spacing w:after="0" w:line="171"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Real estate values are primarily based on valuation of the underlying investments, which include inputs such as cost, discounted future cash flows, independent appraisals and market comparable data.</w:t>
      </w:r>
    </w:p>
    <w:p>
      <w:pPr>
        <w:spacing w:after="0" w:line="108"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Hedge funds are valued based on valuation of the underlying securities and instruments within the funds. Quoted market prices are used when available and NAVs are used for unquoted securities within the funds.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Absolute return funds are actively managed funds mainly invested in debt and equity securities and are valued at their NAVs.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803" w:right="23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t>The following table presents a reconciliation of Level 3 non-U.S. plan assets held during the year ended December 31, 2014: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Real</w:t>
            </w:r>
          </w:p>
        </w:tc>
        <w:tc>
          <w:tcPr>
            <w:tcW w:w="320" w:type="dxa"/>
            <w:vAlign w:val="bottom"/>
          </w:tcPr>
          <w:p>
            <w:pPr>
              <w:spacing w:after="0"/>
              <w:rPr>
                <w:sz w:val="12"/>
                <w:szCs w:val="12"/>
                <w:color w:val="auto"/>
              </w:rPr>
            </w:pPr>
          </w:p>
        </w:tc>
        <w:tc>
          <w:tcPr>
            <w:tcW w:w="12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4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Hedge</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Estate</w:t>
            </w:r>
          </w:p>
        </w:tc>
        <w:tc>
          <w:tcPr>
            <w:tcW w:w="320" w:type="dxa"/>
            <w:vAlign w:val="bottom"/>
          </w:tcPr>
          <w:p>
            <w:pPr>
              <w:spacing w:after="0"/>
              <w:rPr>
                <w:sz w:val="13"/>
                <w:szCs w:val="13"/>
                <w:color w:val="auto"/>
              </w:rPr>
            </w:pPr>
          </w:p>
        </w:tc>
        <w:tc>
          <w:tcPr>
            <w:tcW w:w="126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480" w:type="dxa"/>
            <w:vAlign w:val="bottom"/>
          </w:tcPr>
          <w:p>
            <w:pPr>
              <w:spacing w:after="0"/>
              <w:rPr>
                <w:sz w:val="13"/>
                <w:szCs w:val="13"/>
                <w:color w:val="auto"/>
              </w:rPr>
            </w:pPr>
          </w:p>
        </w:tc>
        <w:tc>
          <w:tcPr>
            <w:tcW w:w="11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Funds</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 as of December 31, 2013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22,746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Ending balance as of December 31, 2014</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4,907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14,775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determine our postretirement benefit expense and obligation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6"/>
          </w:tcPr>
          <w:p>
            <w:pPr>
              <w:ind w:left="1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medical cost trend rate</w:t>
            </w:r>
          </w:p>
        </w:tc>
        <w:tc>
          <w:tcPr>
            <w:tcW w:w="300" w:type="dxa"/>
            <w:vAlign w:val="bottom"/>
          </w:tcPr>
          <w:p>
            <w:pPr>
              <w:spacing w:after="0"/>
              <w:rPr>
                <w:sz w:val="21"/>
                <w:szCs w:val="21"/>
                <w:color w:val="auto"/>
              </w:rPr>
            </w:pP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Ultimate medical cost trend rate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Medical cost trend rate decreases to ultimate rate in year</w:t>
            </w:r>
          </w:p>
        </w:tc>
        <w:tc>
          <w:tcPr>
            <w:tcW w:w="300" w:type="dxa"/>
            <w:vAlign w:val="bottom"/>
          </w:tcPr>
          <w:p>
            <w:pPr>
              <w:spacing w:after="0"/>
              <w:rPr>
                <w:sz w:val="21"/>
                <w:szCs w:val="21"/>
                <w:color w:val="auto"/>
              </w:rPr>
            </w:pPr>
          </w:p>
        </w:tc>
        <w:tc>
          <w:tcPr>
            <w:tcW w:w="14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54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1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Sensitivity of Disclosures to Changes in Selected Assumptions</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20" w:type="dxa"/>
            <w:vAlign w:val="bottom"/>
            <w:gridSpan w:val="8"/>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25 BP Decrease in Discount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25 BP Decrease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25 BP Decrease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2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Long-Term Rate of</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00" w:type="dxa"/>
            <w:vAlign w:val="bottom"/>
          </w:tcPr>
          <w:p>
            <w:pPr>
              <w:spacing w:after="0"/>
              <w:rPr>
                <w:sz w:val="12"/>
                <w:szCs w:val="12"/>
                <w:color w:val="auto"/>
              </w:rPr>
            </w:pPr>
          </w:p>
        </w:tc>
        <w:tc>
          <w:tcPr>
            <w:tcW w:w="1220" w:type="dxa"/>
            <w:vAlign w:val="bottom"/>
          </w:tcPr>
          <w:p>
            <w:pPr>
              <w:jc w:val="right"/>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Change in pension</w:t>
            </w: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77"/>
              <w:spacing w:after="0" w:line="160" w:lineRule="exact"/>
              <w:rPr>
                <w:sz w:val="20"/>
                <w:szCs w:val="20"/>
                <w:color w:val="auto"/>
              </w:rPr>
            </w:pPr>
            <w:r>
              <w:rPr>
                <w:rFonts w:ascii="Times New Roman" w:cs="Times New Roman" w:eastAsia="Times New Roman" w:hAnsi="Times New Roman"/>
                <w:sz w:val="14"/>
                <w:szCs w:val="14"/>
                <w:b w:val="1"/>
                <w:bCs w:val="1"/>
                <w:color w:val="auto"/>
              </w:rPr>
              <w:t>PBO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ABO</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pension expense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98"/>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Pension Plans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w:t>
            </w:r>
          </w:p>
        </w:tc>
        <w:tc>
          <w:tcPr>
            <w:tcW w:w="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1,304</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Pension Plans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47,377</w:t>
            </w: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45,329</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2,783</w:t>
            </w:r>
          </w:p>
        </w:tc>
        <w:tc>
          <w:tcPr>
            <w:tcW w:w="60" w:type="dxa"/>
            <w:vAlign w:val="bottom"/>
          </w:tcPr>
          <w:p>
            <w:pPr>
              <w:spacing w:after="0"/>
              <w:rPr>
                <w:sz w:val="21"/>
                <w:szCs w:val="21"/>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Benefit Plan</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effect of a 1% increase in the medical cost trend rate would increase the accumulated postretirement benefit obligation and the annual postretirement expense by approximately $6.9 million and $0.3 million, respectively; a 1% decrease in the rate would decrease the obligation and expense by approximately $6.7 million and $0.3 million, respectively.</w:t>
      </w:r>
    </w:p>
    <w:p>
      <w:pPr>
        <w:spacing w:after="0" w:line="122"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We contributed $20.0 million and $20.3 million to our qualified U.S. pension plans and non-U.S. pension plans in 2014, respectively. We made $3.7 million in benefit payments with respect to our non-qualified U.S. pension plan. In addition, $6.9 million of payments were made with respect to our other postretirement plans.</w:t>
      </w:r>
    </w:p>
    <w:p>
      <w:pPr>
        <w:spacing w:after="0" w:line="1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14.</w:t>
        <w:tab/>
        <w:t>FINANCIAL INSTRUMENTS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94"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spacing w:after="0" w:line="39" w:lineRule="exact"/>
        <w:rPr>
          <w:sz w:val="20"/>
          <w:szCs w:val="20"/>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 Quoted prices for </w:t>
      </w:r>
      <w:r>
        <w:rPr>
          <w:rFonts w:ascii="Times New Roman" w:cs="Times New Roman" w:eastAsia="Times New Roman" w:hAnsi="Times New Roman"/>
          <w:sz w:val="18"/>
          <w:szCs w:val="18"/>
          <w:i w:val="1"/>
          <w:iCs w:val="1"/>
          <w:color w:val="auto"/>
        </w:rPr>
        <w:t>identical</w:t>
      </w:r>
      <w:r>
        <w:rPr>
          <w:rFonts w:ascii="Times New Roman" w:cs="Times New Roman" w:eastAsia="Times New Roman" w:hAnsi="Times New Roman"/>
          <w:sz w:val="18"/>
          <w:szCs w:val="18"/>
          <w:color w:val="auto"/>
        </w:rPr>
        <w:t xml:space="preserve"> instruments in active markets.</w:t>
      </w:r>
    </w:p>
    <w:p>
      <w:pPr>
        <w:spacing w:after="0" w:line="90" w:lineRule="exact"/>
        <w:rPr>
          <w:rFonts w:ascii="Times New Roman" w:cs="Times New Roman" w:eastAsia="Times New Roman" w:hAnsi="Times New Roman"/>
          <w:sz w:val="18"/>
          <w:szCs w:val="18"/>
          <w:color w:val="auto"/>
        </w:rPr>
      </w:pPr>
    </w:p>
    <w:p>
      <w:pPr>
        <w:ind w:left="820" w:right="20" w:hanging="326"/>
        <w:spacing w:after="0" w:line="284"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 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2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742" w:right="239" w:bottom="1440" w:gutter="0" w:footer="0" w:header="0"/>
        </w:sectPr>
      </w:pPr>
    </w:p>
    <w:bookmarkStart w:id="79" w:name="page80"/>
    <w:bookmarkEnd w:id="79"/>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interest rates, inflation or currency risks) using the London InterBank Offer Rate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included in Note 13.</w:t>
      </w:r>
    </w:p>
    <w:p>
      <w:pPr>
        <w:spacing w:after="0" w:line="12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December 31, 2014.</w:t>
      </w:r>
    </w:p>
    <w:p>
      <w:pPr>
        <w:spacing w:after="0" w:line="108"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The amounts recorded in the balance sheet (carrying amount) and the estimated fair values of financial instruments at December 31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2"/>
                <w:szCs w:val="12"/>
                <w:color w:val="auto"/>
              </w:rPr>
            </w:pPr>
          </w:p>
        </w:tc>
        <w:tc>
          <w:tcPr>
            <w:tcW w:w="1120" w:type="dxa"/>
            <w:vAlign w:val="bottom"/>
          </w:tcPr>
          <w:p>
            <w:pPr>
              <w:jc w:val="right"/>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2"/>
                <w:szCs w:val="12"/>
                <w:color w:val="auto"/>
              </w:rPr>
            </w:pPr>
          </w:p>
        </w:tc>
        <w:tc>
          <w:tcPr>
            <w:tcW w:w="1080" w:type="dxa"/>
            <w:vAlign w:val="bottom"/>
          </w:tcPr>
          <w:p>
            <w:pPr>
              <w:jc w:val="right"/>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15"/>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0"/>
        </w:trPr>
        <w:tc>
          <w:tcPr>
            <w:tcW w:w="51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315"/>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Pr>
          <w:p>
            <w:pPr>
              <w:spacing w:after="0"/>
              <w:rPr>
                <w:sz w:val="13"/>
                <w:szCs w:val="13"/>
                <w:color w:val="auto"/>
              </w:rPr>
            </w:pPr>
          </w:p>
        </w:tc>
        <w:tc>
          <w:tcPr>
            <w:tcW w:w="1080" w:type="dxa"/>
            <w:vAlign w:val="bottom"/>
          </w:tcPr>
          <w:p>
            <w:pPr>
              <w:jc w:val="right"/>
              <w:ind w:right="295"/>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75"/>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16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478,573</w:t>
            </w: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478,573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405,505</w:t>
            </w: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405,505</w:t>
            </w:r>
          </w:p>
        </w:tc>
        <w:tc>
          <w:tcPr>
            <w:tcW w:w="0" w:type="dxa"/>
            <w:vAlign w:val="bottom"/>
          </w:tcPr>
          <w:p>
            <w:pPr>
              <w:spacing w:after="0"/>
              <w:rPr>
                <w:sz w:val="1"/>
                <w:szCs w:val="1"/>
                <w:color w:val="auto"/>
              </w:rPr>
            </w:pPr>
          </w:p>
        </w:tc>
      </w:tr>
      <w:tr>
        <w:trPr>
          <w:trHeight w:val="270"/>
        </w:trPr>
        <w:tc>
          <w:tcPr>
            <w:tcW w:w="516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Credit facilities and bank overdrafts</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70"/>
        </w:trPr>
        <w:tc>
          <w:tcPr>
            <w:tcW w:w="516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notes — 2007</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587,650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590,024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notes — 2006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139,146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notes — 2013</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296,290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278,770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cash and cash equivalents approximates fair value due to the short maturity of those instruments.</w:t>
      </w:r>
    </w:p>
    <w:p>
      <w:pPr>
        <w:spacing w:after="0" w:line="98" w:lineRule="exact"/>
        <w:rPr>
          <w:rFonts w:ascii="Times New Roman" w:cs="Times New Roman" w:eastAsia="Times New Roman" w:hAnsi="Times New Roman"/>
          <w:sz w:val="18"/>
          <w:szCs w:val="18"/>
          <w:color w:val="auto"/>
        </w:rPr>
      </w:pPr>
    </w:p>
    <w:p>
      <w:pPr>
        <w:ind w:left="500" w:right="140" w:hanging="492"/>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our credit facilities and bank overdrafts approximates fair value as the interest rate is reset frequently based on current market rates as well as the short maturity of those instruments.</w:t>
      </w:r>
    </w:p>
    <w:p>
      <w:pPr>
        <w:spacing w:after="0" w:line="53"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long-term debt was calculated using discounted cash flows applying current interest rates and current credit spreads based on our own credit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94" w:lineRule="exact"/>
        <w:rPr>
          <w:sz w:val="20"/>
          <w:szCs w:val="20"/>
          <w:color w:val="auto"/>
        </w:rPr>
      </w:pPr>
    </w:p>
    <w:p>
      <w:pPr>
        <w:ind w:right="600" w:firstLine="432"/>
        <w:spacing w:after="0" w:line="261" w:lineRule="auto"/>
        <w:rPr>
          <w:sz w:val="20"/>
          <w:szCs w:val="20"/>
          <w:color w:val="auto"/>
        </w:rPr>
      </w:pPr>
      <w:r>
        <w:rPr>
          <w:rFonts w:ascii="Times New Roman" w:cs="Times New Roman" w:eastAsia="Times New Roman" w:hAnsi="Times New Roman"/>
          <w:sz w:val="18"/>
          <w:szCs w:val="18"/>
          <w:color w:val="auto"/>
        </w:rPr>
        <w:t>We periodically enter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26"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In 2003, we executed a 10-year Yen — U.S. dollar currency swap related to the monthly sale and purchase of products between the U.S. and Japan which has been designated as a cash flow hedge. This swap matured in January 2013.</w:t>
      </w:r>
    </w:p>
    <w:p>
      <w:pPr>
        <w:spacing w:after="0" w:line="108"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2014 and 2013, we entered into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Income and Comprehensive Income. Realized gains/(losses) are deferred in AOCI where they will remain until the net investments in our European subsidiaries are divested. Six of these forward currency contracts matured during the year ended December 31, 2014. The outstanding forward currency contacts have remaining maturities of less than one year.</w:t>
      </w:r>
    </w:p>
    <w:p>
      <w:pPr>
        <w:spacing w:after="0" w:line="13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and 2013, we continued to enter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Income and Comprehensive Income. Realized gains/(losses) in AOCI related to cash flow hedges of raw material purchases are recognized as a component of Cost of goods sold in the accompanying Consolidated Statement of Income and Comprehensive Income in the same period as the related costs are recognized.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742" w:right="239" w:bottom="1440" w:gutter="0" w:footer="0" w:header="0"/>
        </w:sectPr>
      </w:pPr>
    </w:p>
    <w:bookmarkStart w:id="80" w:name="page81"/>
    <w:bookmarkEnd w:id="80"/>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During 2014 and 2013, we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year ended December 31, 2014.</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During Q1 2013, we entered into three interest rate swaps to hedge the anticipated issuance of fixed-rate debt, which are designated as cash flow hedges. The effective portions of cash flow hedges are recorded in OCI as a component of Losses/gains on derivatives qualifying as hedges in the accompanying Consolidated Statement of Income and Comprehensive Income. During the second quarter of 2013, we terminated these swaps and incurred a loss of $2.7 million, which we will amortize as Interest expense over the life of the Senior Notes - 2013 (discussed in Note 8).</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notional amount of the Company’s derivative instruments outstanding as of December 31, 2014 and December 31,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3"/>
                <w:szCs w:val="13"/>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0" w:type="dxa"/>
            <w:vAlign w:val="bottom"/>
          </w:tcPr>
          <w:p>
            <w:pPr>
              <w:spacing w:after="0"/>
              <w:rPr>
                <w:sz w:val="13"/>
                <w:szCs w:val="13"/>
                <w:color w:val="auto"/>
              </w:rPr>
            </w:pPr>
          </w:p>
        </w:tc>
        <w:tc>
          <w:tcPr>
            <w:tcW w:w="15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191,150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255,500</w:t>
            </w:r>
          </w:p>
        </w:tc>
      </w:tr>
      <w:tr>
        <w:trPr>
          <w:trHeight w:val="243"/>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375,000</w:t>
            </w:r>
          </w:p>
        </w:tc>
      </w:tr>
    </w:tbl>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derivative instruments measured at fair value (Level 2 of the fair value hierarchy) as reflected in the Consolidated Balance Sheets as of December 31, 2014 and December 31, 2013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Not</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280" w:type="dxa"/>
            <w:vAlign w:val="bottom"/>
          </w:tcPr>
          <w:p>
            <w:pPr>
              <w:spacing w:after="0"/>
              <w:rPr>
                <w:sz w:val="12"/>
                <w:szCs w:val="12"/>
                <w:color w:val="auto"/>
              </w:rPr>
            </w:pPr>
          </w:p>
        </w:tc>
        <w:tc>
          <w:tcPr>
            <w:tcW w:w="120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6"/>
                <w:szCs w:val="16"/>
                <w:color w:val="auto"/>
              </w:rPr>
            </w:pPr>
          </w:p>
        </w:tc>
        <w:tc>
          <w:tcPr>
            <w:tcW w:w="120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720" w:type="dxa"/>
            <w:vAlign w:val="bottom"/>
            <w:tcBorders>
              <w:top w:val="single" w:sz="8" w:color="CCEEFF"/>
            </w:tcBorders>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5"/>
                <w:szCs w:val="25"/>
                <w:color w:val="auto"/>
                <w:vertAlign w:val="superscript"/>
              </w:rPr>
              <w:t>(a)</w:t>
            </w:r>
          </w:p>
        </w:tc>
        <w:tc>
          <w:tcPr>
            <w:tcW w:w="24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16,637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21,035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21,718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Not</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28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ind w:left="20"/>
              <w:spacing w:after="0" w:line="264"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5"/>
                <w:szCs w:val="25"/>
                <w:color w:val="auto"/>
                <w:vertAlign w:val="superscript"/>
              </w:rPr>
              <w:t>(a)</w:t>
            </w:r>
          </w:p>
        </w:tc>
        <w:tc>
          <w:tcPr>
            <w:tcW w:w="2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9,476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Pr>
          <w:p>
            <w:pPr>
              <w:spacing w:after="0"/>
              <w:rPr>
                <w:sz w:val="21"/>
                <w:szCs w:val="21"/>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10,146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5"/>
                <w:szCs w:val="25"/>
                <w:color w:val="auto"/>
                <w:vertAlign w:val="superscript"/>
              </w:rPr>
              <w:t>(b)</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8,933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recorded to Prepaid expenses and other current assets in the Consolidated Balance Sheet.</w:t>
      </w:r>
    </w:p>
    <w:p>
      <w:pPr>
        <w:spacing w:after="0" w:line="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liabilities are recorded as Other 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742" w:right="239" w:bottom="1440" w:gutter="0" w:footer="0" w:header="0"/>
        </w:sectPr>
      </w:pPr>
    </w:p>
    <w:bookmarkStart w:id="81" w:name="page82"/>
    <w:bookmarkEnd w:id="81"/>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the Company’s derivative instruments which were not designated as hedging instruments in the Consolidated Statement of Income and Comprehensive Income for the years ended December 31, 2014 and December 31, 2013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gridSpan w:val="3"/>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gridSpan w:val="3"/>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years ended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gridSpan w:val="3"/>
          </w:tcPr>
          <w:p>
            <w:pPr>
              <w:jc w:val="center"/>
              <w:ind w:right="199"/>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1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0" w:type="dxa"/>
            <w:vAlign w:val="bottom"/>
          </w:tcPr>
          <w:p>
            <w:pPr>
              <w:spacing w:after="0"/>
              <w:rPr>
                <w:sz w:val="1"/>
                <w:szCs w:val="1"/>
                <w:color w:val="auto"/>
              </w:rPr>
            </w:pPr>
          </w:p>
        </w:tc>
      </w:tr>
      <w:tr>
        <w:trPr>
          <w:trHeight w:val="63"/>
        </w:trPr>
        <w:tc>
          <w:tcPr>
            <w:tcW w:w="4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4240" w:type="dxa"/>
            <w:vAlign w:val="bottom"/>
            <w:gridSpan w:val="3"/>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Income on Derivative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8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96"/>
              </w:rPr>
              <w:t>25,678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16,479   Other (income) expense, net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Most of these net gains (losses) offset any recognized gains (losses) arising from the revaluation of the related intercompany loans during the same respective periods.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shows the effect of the Company’s derivative instruments designated as cash flow and net investment hedging instruments in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Income and Comprehensive Income for the years ended December 31, 2014 and December 31, 2013 (in thousands):</w:t>
      </w:r>
    </w:p>
    <w:p>
      <w:pPr>
        <w:sectPr>
          <w:pgSz w:w="11900" w:h="16838" w:orient="portrait"/>
          <w:cols w:equalWidth="0" w:num="1">
            <w:col w:w="11420"/>
          </w:cols>
          <w:pgMar w:left="240" w:top="742" w:right="239" w:bottom="1440" w:gutter="0" w:footer="0" w:header="0"/>
        </w:sectPr>
      </w:pPr>
    </w:p>
    <w:p>
      <w:pPr>
        <w:spacing w:after="0" w:line="295"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Amount of Gain or</w:t>
      </w:r>
    </w:p>
    <w:p>
      <w:pPr>
        <w:jc w:val="center"/>
        <w:ind w:left="4160"/>
        <w:spacing w:after="0" w:line="229" w:lineRule="auto"/>
        <w:rPr>
          <w:sz w:val="20"/>
          <w:szCs w:val="20"/>
          <w:color w:val="auto"/>
        </w:rPr>
      </w:pPr>
      <w:r>
        <w:rPr>
          <w:rFonts w:ascii="Times New Roman" w:cs="Times New Roman" w:eastAsia="Times New Roman" w:hAnsi="Times New Roman"/>
          <w:sz w:val="14"/>
          <w:szCs w:val="14"/>
          <w:b w:val="1"/>
          <w:bCs w:val="1"/>
          <w:color w:val="auto"/>
        </w:rPr>
        <w:t>(Loss) Recognized in</w:t>
      </w:r>
    </w:p>
    <w:p>
      <w:pPr>
        <w:jc w:val="center"/>
        <w:ind w:left="4160"/>
        <w:spacing w:after="0" w:line="222" w:lineRule="auto"/>
        <w:rPr>
          <w:sz w:val="20"/>
          <w:szCs w:val="20"/>
          <w:color w:val="auto"/>
        </w:rPr>
      </w:pPr>
      <w:r>
        <w:rPr>
          <w:rFonts w:ascii="Times New Roman" w:cs="Times New Roman" w:eastAsia="Times New Roman" w:hAnsi="Times New Roman"/>
          <w:sz w:val="14"/>
          <w:szCs w:val="14"/>
          <w:b w:val="1"/>
          <w:bCs w:val="1"/>
          <w:color w:val="auto"/>
        </w:rPr>
        <w:t>OCI on Derivative</w:t>
      </w: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13335</wp:posOffset>
            </wp:positionV>
            <wp:extent cx="1672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7"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13335</wp:posOffset>
            </wp:positionV>
            <wp:extent cx="1672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swap</w:t>
            </w:r>
            <w:r>
              <w:rPr>
                <w:rFonts w:ascii="Times New Roman" w:cs="Times New Roman" w:eastAsia="Times New Roman" w:hAnsi="Times New Roman"/>
                <w:sz w:val="25"/>
                <w:szCs w:val="25"/>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Forward currency contract</w:t>
            </w:r>
          </w:p>
        </w:tc>
        <w:tc>
          <w:tcPr>
            <w:tcW w:w="320" w:type="dxa"/>
            <w:vAlign w:val="bottom"/>
          </w:tcPr>
          <w:p>
            <w:pPr>
              <w:spacing w:after="0"/>
              <w:rPr>
                <w:sz w:val="24"/>
                <w:szCs w:val="24"/>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16,109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30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swaps </w:t>
            </w:r>
            <w:r>
              <w:rPr>
                <w:rFonts w:ascii="Times New Roman" w:cs="Times New Roman" w:eastAsia="Times New Roman" w:hAnsi="Times New Roman"/>
                <w:sz w:val="25"/>
                <w:szCs w:val="25"/>
                <w:color w:val="auto"/>
                <w:vertAlign w:val="superscript"/>
              </w:rPr>
              <w:t>(2)</w:t>
            </w:r>
          </w:p>
        </w:tc>
        <w:tc>
          <w:tcPr>
            <w:tcW w:w="320" w:type="dxa"/>
            <w:vAlign w:val="bottom"/>
          </w:tcPr>
          <w:p>
            <w:pPr>
              <w:spacing w:after="0"/>
              <w:rPr>
                <w:sz w:val="24"/>
                <w:szCs w:val="24"/>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in Net Investment Hedging</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Forward currency contract</w:t>
            </w:r>
          </w:p>
        </w:tc>
        <w:tc>
          <w:tcPr>
            <w:tcW w:w="32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23,798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-1474470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Amount of Gain or</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4"/>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(Loss) Reclassified</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4"/>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left="421"/>
              <w:spacing w:after="0" w:line="149" w:lineRule="exact"/>
              <w:rPr>
                <w:sz w:val="20"/>
                <w:szCs w:val="20"/>
                <w:color w:val="auto"/>
              </w:rPr>
            </w:pPr>
            <w:r>
              <w:rPr>
                <w:rFonts w:ascii="Times New Roman" w:cs="Times New Roman" w:eastAsia="Times New Roman" w:hAnsi="Times New Roman"/>
                <w:sz w:val="14"/>
                <w:szCs w:val="14"/>
                <w:b w:val="1"/>
                <w:bCs w:val="1"/>
                <w:color w:val="auto"/>
              </w:rPr>
              <w:t>OCI into Income</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or</w:t>
            </w:r>
          </w:p>
        </w:tc>
        <w:tc>
          <w:tcPr>
            <w:tcW w:w="3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0" w:type="dxa"/>
            <w:vAlign w:val="bottom"/>
          </w:tcPr>
          <w:p>
            <w:pPr>
              <w:spacing w:after="0"/>
              <w:rPr>
                <w:sz w:val="1"/>
                <w:szCs w:val="1"/>
                <w:color w:val="auto"/>
              </w:rPr>
            </w:pPr>
          </w:p>
        </w:tc>
      </w:tr>
      <w:tr>
        <w:trPr>
          <w:trHeight w:val="142"/>
        </w:trPr>
        <w:tc>
          <w:tcPr>
            <w:tcW w:w="19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(Loss) Reclassified</w:t>
            </w:r>
          </w:p>
        </w:tc>
        <w:tc>
          <w:tcPr>
            <w:tcW w:w="300" w:type="dxa"/>
            <w:vAlign w:val="bottom"/>
          </w:tcPr>
          <w:p>
            <w:pPr>
              <w:spacing w:after="0"/>
              <w:rPr>
                <w:sz w:val="12"/>
                <w:szCs w:val="12"/>
                <w:color w:val="auto"/>
              </w:rPr>
            </w:pPr>
          </w:p>
        </w:tc>
        <w:tc>
          <w:tcPr>
            <w:tcW w:w="2320" w:type="dxa"/>
            <w:vAlign w:val="bottom"/>
            <w:gridSpan w:val="4"/>
          </w:tcPr>
          <w:p>
            <w:pPr>
              <w:jc w:val="center"/>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300" w:type="dxa"/>
            <w:vAlign w:val="bottom"/>
          </w:tcPr>
          <w:p>
            <w:pPr>
              <w:spacing w:after="0"/>
              <w:rPr>
                <w:sz w:val="12"/>
                <w:szCs w:val="12"/>
                <w:color w:val="auto"/>
              </w:rPr>
            </w:pPr>
          </w:p>
        </w:tc>
        <w:tc>
          <w:tcPr>
            <w:tcW w:w="1540" w:type="dxa"/>
            <w:vAlign w:val="bottom"/>
            <w:gridSpan w:val="3"/>
          </w:tcPr>
          <w:p>
            <w:pPr>
              <w:jc w:val="center"/>
              <w:ind w:left="42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OCI into Income</w:t>
            </w: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3"/>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expense, net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7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756"/>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2">
            <w:col w:w="6760" w:space="100"/>
            <w:col w:w="4560"/>
          </w:cols>
          <w:pgMar w:left="240" w:top="74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-127635</wp:posOffset>
            </wp:positionV>
            <wp:extent cx="1663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-127635</wp:posOffset>
            </wp:positionV>
            <wp:extent cx="16725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 w:lineRule="exact"/>
        <w:rPr>
          <w:sz w:val="20"/>
          <w:szCs w:val="20"/>
          <w:color w:val="auto"/>
        </w:rPr>
      </w:pPr>
    </w:p>
    <w:p>
      <w:pPr>
        <w:ind w:left="420" w:hanging="412"/>
        <w:spacing w:after="0"/>
        <w:tabs>
          <w:tab w:leader="none" w:pos="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year swap executed in 2003, matured in January 2013.</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swaps were entered into as pre-issuance hedges for the $300 million bond offering.</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ineffective portion of the above noted cash flow hedges and net investment hedges was not material for the years ended December 31,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pacing w:after="0" w:line="153"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Company expects approximately $7.0 million (net of tax), of derivative gains included in AOCI at December 31, 2014, based on current market rates, will be reclassified into earnings within the next twelve months. The majority of this amount will vary due to fluctuations in foreign currency exchange rates.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742" w:right="239" w:bottom="1440" w:gutter="0" w:footer="0" w:header="0"/>
          <w:type w:val="continuous"/>
        </w:sectPr>
      </w:pPr>
    </w:p>
    <w:bookmarkStart w:id="82" w:name="page83"/>
    <w:bookmarkEnd w:id="82"/>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94" w:lineRule="exact"/>
        <w:rPr>
          <w:sz w:val="20"/>
          <w:szCs w:val="20"/>
          <w:color w:val="auto"/>
        </w:rPr>
      </w:pPr>
    </w:p>
    <w:p>
      <w:pPr>
        <w:ind w:right="160" w:firstLine="878"/>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 Gains on</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net of tax, as of</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16,877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20,826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16,383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0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 other comprehensive loss, net of tax, as of</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(173,342)</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(379,459)</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(540,430)</w:t>
            </w: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 net of tax,</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20,925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22,087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25,264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10,914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0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 other comprehensive loss, net of tax, as of</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(284,421)</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(392,711)</w:t>
            </w: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738" w:right="239" w:bottom="1440" w:gutter="0" w:footer="0" w:header="0"/>
        </w:sectPr>
      </w:pPr>
    </w:p>
    <w:bookmarkStart w:id="83" w:name="page84"/>
    <w:bookmarkEnd w:id="83"/>
    <w:p>
      <w:pPr>
        <w:ind w:left="880"/>
        <w:spacing w:after="0"/>
        <w:rPr>
          <w:sz w:val="20"/>
          <w:szCs w:val="20"/>
          <w:color w:val="auto"/>
        </w:rPr>
      </w:pPr>
      <w:r>
        <w:rPr>
          <w:rFonts w:ascii="Times New Roman" w:cs="Times New Roman" w:eastAsia="Times New Roman" w:hAnsi="Times New Roman"/>
          <w:sz w:val="18"/>
          <w:szCs w:val="18"/>
          <w:color w:val="auto"/>
        </w:rPr>
        <w:t>The following table provides details about reclassifications out of accumulated other comprehensive income to the Consolidated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3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Pr>
          <w:p>
            <w:pPr>
              <w:spacing w:after="0"/>
              <w:rPr>
                <w:sz w:val="12"/>
                <w:szCs w:val="12"/>
                <w:color w:val="auto"/>
              </w:rPr>
            </w:pPr>
          </w:p>
        </w:tc>
        <w:tc>
          <w:tcPr>
            <w:tcW w:w="3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Comprehensive Income</w:t>
            </w:r>
          </w:p>
        </w:tc>
        <w:tc>
          <w:tcPr>
            <w:tcW w:w="0" w:type="dxa"/>
            <w:vAlign w:val="bottom"/>
          </w:tcPr>
          <w:p>
            <w:pPr>
              <w:spacing w:after="0"/>
              <w:rPr>
                <w:sz w:val="1"/>
                <w:szCs w:val="1"/>
                <w:color w:val="auto"/>
              </w:rPr>
            </w:pPr>
          </w:p>
        </w:tc>
      </w:tr>
      <w:tr>
        <w:trPr>
          <w:trHeight w:val="25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gains on derivatives qualifying as hedges</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Cross currency swap</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tcPr>
          <w:p>
            <w:pPr>
              <w:spacing w:after="0"/>
              <w:rPr>
                <w:sz w:val="24"/>
                <w:szCs w:val="24"/>
                <w:color w:val="auto"/>
              </w:rPr>
            </w:pPr>
          </w:p>
        </w:tc>
        <w:tc>
          <w:tcPr>
            <w:tcW w:w="3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net of income taxes</w:t>
            </w:r>
          </w:p>
        </w:tc>
        <w:tc>
          <w:tcPr>
            <w:tcW w:w="0" w:type="dxa"/>
            <w:vAlign w:val="bottom"/>
          </w:tcPr>
          <w:p>
            <w:pPr>
              <w:spacing w:after="0"/>
              <w:rPr>
                <w:sz w:val="1"/>
                <w:szCs w:val="1"/>
                <w:color w:val="auto"/>
              </w:rPr>
            </w:pPr>
          </w:p>
        </w:tc>
      </w:tr>
      <w:tr>
        <w:trPr>
          <w:trHeight w:val="185"/>
        </w:trPr>
        <w:tc>
          <w:tcPr>
            <w:tcW w:w="470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(Losses) gains on pension and postretirement liability</w:t>
            </w: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Settlements / Curtailments</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Prior service cost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Actuarial losses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(33,618)</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13,227</w:t>
            </w:r>
          </w:p>
        </w:tc>
        <w:tc>
          <w:tcPr>
            <w:tcW w:w="10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4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20" w:type="dxa"/>
            <w:vAlign w:val="bottom"/>
          </w:tcPr>
          <w:p>
            <w:pPr>
              <w:spacing w:after="0"/>
              <w:rPr>
                <w:sz w:val="21"/>
                <w:szCs w:val="21"/>
                <w:color w:val="auto"/>
              </w:rPr>
            </w:pPr>
          </w:p>
        </w:tc>
        <w:tc>
          <w:tcPr>
            <w:tcW w:w="4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(20,925)</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of income taxes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8890</wp:posOffset>
            </wp:positionV>
            <wp:extent cx="18180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ind w:right="200" w:firstLine="49"/>
        <w:spacing w:after="0" w:line="282" w:lineRule="auto"/>
        <w:tabs>
          <w:tab w:leader="none" w:pos="26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amortization of prior service cost and actuarial loss is included in the computation of net periodic benefit cost. Refer to Note 13 to the Consolidated Financial Statements - Employee Benefits for additional information regarding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-305435</wp:posOffset>
            </wp:positionV>
            <wp:extent cx="18180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0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CONCENTRATIONS OF CREDIT RISK</w:t>
      </w:r>
    </w:p>
    <w:p>
      <w:pPr>
        <w:spacing w:after="0" w:line="9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Company does not have significant concentrations of risk in financial instruments. Temporary investments are made in a well-diversified portfolio of high-quality, liquid obligations of government, corporate and financial institutions. There are also limited concentrations of credit risk with respect to trade receivables because the Company has a large number of customers who are spread across many industries and geographic regions. The Company’s larger customers are each spread across many sub-categories of its segments and geographical regions. We had one customer that accounted for more than 10% of our consolidated net sales in each year for all periods presented.</w:t>
      </w:r>
    </w:p>
    <w:p>
      <w:pPr>
        <w:spacing w:after="0" w:line="1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17.</w:t>
        <w:tab/>
        <w:t>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9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Minimum rental payments under non-cancelable operating leases are $29.0 million in 2015, $25.3 million in 2016, $22.3 million in 2017 and from 2018 and thereafter through 2031, the aggregate lease obligations are $133.8 million. The corresponding rental expense amounted to $34.4 million, $32.4 million and $31.5 million for the years ended December 31, 2014, 2013 and 2012, respectively. None of our leases contain escalation clauses and they do not require capital improvement funding.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Letters of Credit</w:t>
      </w:r>
    </w:p>
    <w:p>
      <w:pPr>
        <w:spacing w:after="0" w:line="94"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The Company has various bank guarantees and letters of credit which are available for use regarding governmental requirements associated with pending litigation in various jurisdictions and to support its ongoing business operations.</w:t>
      </w:r>
    </w:p>
    <w:p>
      <w:pPr>
        <w:spacing w:after="0" w:line="108"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At December 31, 2014, we had total bank guarantees and standby letters of credit of approximately $38.5 million with various financial institutions. Of this amount, Euro 6.5 million ($7.9 million) in bank guarantees are related to governmental requirements on income tax disputes in Spain, as discussed in further detail in Note 9. Also included in the above aggregate amount is a total of $19.6 million for certain other assessments in Brazil for other diverse income tax and indirect tax disputes related to fiscal years 1998-2011. There were no material amounts utilized under the standby letters of credit as of December 31, 2014.</w:t>
      </w:r>
    </w:p>
    <w:p>
      <w:pPr>
        <w:spacing w:after="0" w:line="130"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In order to challenge the assessments in these cases in Brazil, the Company has been required to and has separately pledged assets, principally property, plant and equipment to cover assessments in the amount of approximately $18.0 million as of December 31, 2014.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580"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94"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Company has various lines of credit which are available to support its ongoing business operations. December 31, 2014, we had available lines of credit (in addition to the New Facility as discussed in Note 8) of approximately $78.6 million with various financial institutions. There were no material amounts drawn down pursuant to these lines of credit as of December 31,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9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94"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2"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We have been identified as a PRP at nine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While joint and several liability is authorized under federal and state environmental laws, we believe the amounts we have paid and anticipate paying in the future for clean-up costs and damages at all sites are not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w:t>
      </w:r>
    </w:p>
    <w:p>
      <w:pPr>
        <w:spacing w:after="0" w:line="9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200" w:lineRule="exact"/>
        <w:rPr>
          <w:sz w:val="20"/>
          <w:szCs w:val="20"/>
          <w:color w:val="auto"/>
        </w:rPr>
      </w:pPr>
    </w:p>
    <w:p>
      <w:pPr>
        <w:spacing w:after="0" w:line="223"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$37.6 million. The Brazilian matters take an extended period of time to proceed through the judicial process and there are a limited number of rulings to date.</w:t>
      </w:r>
    </w:p>
    <w:p>
      <w:pPr>
        <w:spacing w:after="0" w:line="12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80"/>
          </w:cols>
          <w:pgMar w:left="240" w:top="738" w:right="279" w:bottom="1440" w:gutter="0" w:footer="0" w:header="0"/>
        </w:sectPr>
      </w:pPr>
    </w:p>
    <w:bookmarkStart w:id="85" w:name="page86"/>
    <w:bookmarkEnd w:id="85"/>
    <w:p>
      <w:pPr>
        <w:spacing w:after="0" w:line="254" w:lineRule="auto"/>
        <w:rPr>
          <w:sz w:val="20"/>
          <w:szCs w:val="20"/>
          <w:color w:val="auto"/>
        </w:rPr>
      </w:pPr>
      <w:r>
        <w:rPr>
          <w:rFonts w:ascii="Times New Roman" w:cs="Times New Roman" w:eastAsia="Times New Roman" w:hAnsi="Times New Roman"/>
          <w:sz w:val="18"/>
          <w:szCs w:val="18"/>
          <w:color w:val="auto"/>
        </w:rPr>
        <w:t>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late 2015.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32"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Based on the information available as of December 31, 2014, we estimate a range of reasonably possible loss related to all of the matters above of $0-$31 million.</w:t>
      </w:r>
    </w:p>
    <w:p>
      <w:pPr>
        <w:spacing w:after="0" w:line="108"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Separately, the Spanish tax authorities are alleging claims for a capital tax in a case arising from similar allegations as the income tax cases (discussed in further detail in Note 9). In connection with the 2002 income tax assessment ruling discussed in Note 9, the Appellate Court rejected one of the two bases upon which we based our capital tax position. However, we believe that we still have a strong basis for our capital tax position and intend to continue to defend these claims. If there is an unfavorable ruling in this case, we estimate the loss wold be approximately $13 million, which was fully reserved as of December 31, 2014. On January 22, 2014, we filed an appeal and in order to avoid future interest costs in the event our appeal is unsuccessful, we paid $11.2 million (representing the principal amount) during the first quarter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00"/>
          </w:cols>
          <w:pgMar w:left="240" w:top="742" w:right="259" w:bottom="1440" w:gutter="0" w:footer="0" w:header="0"/>
        </w:sectPr>
      </w:pPr>
    </w:p>
    <w:bookmarkStart w:id="86" w:name="page87"/>
    <w:bookmarkEnd w:id="86"/>
    <w:p>
      <w:pPr>
        <w:ind w:left="400"/>
        <w:spacing w:after="0"/>
        <w:rPr>
          <w:sz w:val="20"/>
          <w:szCs w:val="20"/>
          <w:color w:val="auto"/>
        </w:rPr>
      </w:pPr>
      <w:r>
        <w:rPr>
          <w:rFonts w:ascii="Times New Roman" w:cs="Times New Roman" w:eastAsia="Times New Roman" w:hAnsi="Times New Roman"/>
          <w:sz w:val="18"/>
          <w:szCs w:val="18"/>
          <w:color w:val="auto"/>
        </w:rPr>
        <w:t>(a)(3)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gridSpan w:val="3"/>
            <w:vMerge w:val="restart"/>
          </w:tcPr>
          <w:p>
            <w:pPr>
              <w:ind w:left="4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13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00" w:type="dxa"/>
            <w:vAlign w:val="bottom"/>
          </w:tcPr>
          <w:p>
            <w:pPr>
              <w:spacing w:after="0"/>
              <w:rPr>
                <w:sz w:val="24"/>
                <w:szCs w:val="24"/>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3(i)</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Restated Certificate of Incorporation of the Company, incorporated by reference to Exhibit 10(g) to Registrant’s Report on Form 10-</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Q filed on August 12, 2002.</w:t>
            </w:r>
          </w:p>
        </w:tc>
        <w:tc>
          <w:tcPr>
            <w:tcW w:w="0" w:type="dxa"/>
            <w:vAlign w:val="bottom"/>
          </w:tcPr>
          <w:p>
            <w:pPr>
              <w:spacing w:after="0"/>
              <w:rPr>
                <w:sz w:val="1"/>
                <w:szCs w:val="1"/>
                <w:color w:val="auto"/>
              </w:rPr>
            </w:pPr>
          </w:p>
        </w:tc>
      </w:tr>
      <w:tr>
        <w:trPr>
          <w:trHeight w:val="481"/>
        </w:trPr>
        <w:tc>
          <w:tcPr>
            <w:tcW w:w="500" w:type="dxa"/>
            <w:vAlign w:val="bottom"/>
          </w:tcPr>
          <w:p>
            <w:pPr>
              <w:spacing w:after="0"/>
              <w:rPr>
                <w:sz w:val="24"/>
                <w:szCs w:val="24"/>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3(ii)</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By-laws of the Registrant, effective as of February 6, 2014, incorporated by reference to Exhibit 3(ii) to Registrant’s Report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8-K filed on February 7, 2014.</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4.1</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Note Purchase Agreement, dated as of July 12, 2006, by and among International Flavors &amp; Fragrances Inc. and the various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purchasers named therein, incorporated by reference to Exhibit 4.7 to Registrant’s Report on Form 8-K filed on July 13, 2006.</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4.2</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Series A, Series B, Series C and Series D Senior Notes incorporated by reference to Exhibit 4.8 to Registrant’s Report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8-K filed on July 13, 2006.</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4.3</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Note Purchase Agreement, dated as of September 27, 2007, by and among International Flavors &amp; Fragrances Inc. and the various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purchasers named therein, incorporated by reference to Exhibit 4.7 to Registrant’s Report on Form 8-K filed on October 1, 2007.</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4.4</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Series A, Series B, Series C and Series D Senior Notes incorporated by reference to Exhibit 4.8 of Registrant’s Report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8-K filed on October 1, 2007.</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*10.1</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Letter Agreement between International Flavors &amp; Fragrances Inc. and Andreas Fibig, dated May 26, 2014,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reference to Exhibit 10.1 to the Registrant’s Report on Form 8-K filed on May 28, 2014.</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*10.2</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Supplemental Retirement Plan, adopted by the Registrant’s Board of Directors on October 29, 1986 as amended and restated through</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October 9, 2007, incorporated by reference to Exhibit 10.5 to Registrant’s Report on Form 10-K filed on February 27, 2008.</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*10.3</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2000 Stock Award and Incentive Plan, adopted by the Registrant’s Board of Directors on March 9, 2000 as amended and restated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through October 9, 2007, incorporated by reference to Exhibit 10.6 to Registrant’s Report on Form 10-K filed on February 27, 2008.</w:t>
            </w:r>
          </w:p>
        </w:tc>
        <w:tc>
          <w:tcPr>
            <w:tcW w:w="0" w:type="dxa"/>
            <w:vAlign w:val="bottom"/>
          </w:tcPr>
          <w:p>
            <w:pPr>
              <w:spacing w:after="0"/>
              <w:rPr>
                <w:sz w:val="1"/>
                <w:szCs w:val="1"/>
                <w:color w:val="auto"/>
              </w:rPr>
            </w:pPr>
          </w:p>
        </w:tc>
      </w:tr>
      <w:tr>
        <w:trPr>
          <w:trHeight w:val="500"/>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2010 Stock Award and Incentive Plan, as Amended and Restated as of February 6, 2014.</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*10.5</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2000 Supplemental Stock Award Plan, adopted by the Registrant’s Board of Directors on November 14, 2000 as amended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restated through October 9, 2007, incorporated by reference to Exhibit 10.7 to Registrant’s Report on Form 10-K filed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February 27, 2008.</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*10.6</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Performance Criteria for the Registrant’s Equity Choice Program relating to Senior Executives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Exhibit 10.1 to Registrant’s Report on Form 10-Q filed on May 6, 2010.</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*10.7</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Non-Employee Director’s Restricted Stock Units Agreement under International Flavors &amp; Fragrances Inc. 2000 Stock</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Award and Incentive Plan, incorporated by reference to Exhibit 10.7 to Registrant’s Report on Form 10-Q filed on October 31, 2007.</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*10.8</w:t>
            </w: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Form of U.S. Restricted Stock Units Agreement under International Flavors &amp; Fragrances Inc. 2000 Stock Award and Incentive Plan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incorporated by reference to Exhibit 10.5 to Registrant’s Report on Form 10-Q filed on October 31, 2007.</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8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87</w:t>
            </w:r>
          </w:p>
        </w:tc>
        <w:tc>
          <w:tcPr>
            <w:tcW w:w="7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80" w:top="580"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gridSpan w:val="3"/>
            <w:vMerge w:val="restart"/>
          </w:tcPr>
          <w:p>
            <w:pPr>
              <w:ind w:left="4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13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U.S. Stock Settled Appreciation Rights Agreement under International Flavors &amp; Fragrances Inc. 2000 Stock Award and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Incentive Plan, incorporated by reference to Exhibit 10.6 to Registrant’s Report on Form 10-Q filed on October 31, 2007.</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Restricted Stock Units Agreement under International Flavors &amp; Fragrances Inc. 2000 Stock Award and Incentive Plan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incorporated by reference to Exhibit 10.2 to Registrant’s Report on Form 10-Q filed on August 5, 2009.</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Purchased Restricted Stock Agreement under International Flavors &amp; Fragrances Inc. 2000 Stock Award and Incentive Plan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incorporated by reference to Exhibit 10.1 to Registrant’s Report on Form 10-Q filed on August 5, 2009.</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Employee Stock Option Agreement under International Flavors &amp; Fragrances Inc. 2000 Stock Award and Incentive Plan,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incorporated by reference to Exhibit 10.1 to Registrant’s Report on Form 10-Q filed on November 9, 2004.</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*10.13</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International Flavors &amp; Fragrances Inc. Stock Option Agreement under 2000 Stock Option Plan for Non-Employee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Directors, incorporated by reference to Exhibit 10.2 to Registrant’s Report on Form 10-Q filed on November 9, 2004.</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*10.14</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Amended and Restated Executive Severance Policy, as Amended through and including October 23, 2014, incorporated by reference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 Exhibit 10.1 to Registrant's Report on Form 10-Q Filed on November 4, 2014.</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*10.15</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 Charitable Contribution Program, adopted by the Board of Directors on December 8, 2009,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Exhibit 10.38 to Registrant’s Report on Form 10-K filed on February 25, 2010.</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10.16</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Director/Officer Indemnification Agreement incorporated by reference to Exhibit 10.1 to Registrant’s Report on Form 8-K</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filed on July 28, 2008.</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Credit Agreement, dated as of November 9, 2011, Amended and Restated as of April 4, 2014, among International Flavors &amp;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Fragrances Inc., International Flavors &amp; Fragrances (Luxembourg) S.à r.l., International Flavors &amp; Fragrances (Nederland) Holding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B.V., International Flavors &amp; Fragrances I.F.F. (Nederland) B.V., IFF Worldwide (Gibraltar) Limited and IFF Aroma Esans Sanayi 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Ticaret Anonim Sirketi, as borrowers, the banks, financial institutions and other institutional lenders party thereto, and Citibank, N.A.</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as administrative agent, incorporated by reference to Exhibit 10.1 to Registrant’s Report on Form 8-K filed on April 8, 2014.</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10.18</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Amendment No. 1 to the Credit Agreement, dated as of June 2, 2014, among International Flavors &amp; Fragrances Inc., International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Flavors &amp; Fragrances (Luxembourg) S.à.r.l., International Flavors &amp; Fragrances (Nederland) Holding B.V., International Flavors &amp;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Fragrances I.F.F. (Nederland) B.V., IFF Worldwide (Gibraltar) Limited and IFF Aroma Esans Sanayi Ve Ticaret Anonim Sirketi,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various financial institutions as are parties to the Credit Agreement, and Citibank, N.A. as administrative agent.</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*10.19</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Executive Death Benefit Plan Agreement incorporated by reference to Exhibit 10.27 to Registrant’s Report on Form 10-K</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filed on February 28, 2012.</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*10.20</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Deferred Compensation Plan, as amended and restated December 12, 2011 incorporated by reference to Exhibit 10.28 to Registrant’s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Report on Form 10-K filed on February 28, 2012.</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*10.21</w:t>
            </w: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U.S. Stock Settled Appreciation Rights Agreement under International Flavors &amp; Fragrances Inc. 2010 Stock Award and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Incentive Plan incorporated by reference to Exhibit 10.29 to Registrant’s Report on Form 10-K filed on February 28, 2012.</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8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88</w:t>
            </w:r>
          </w:p>
        </w:tc>
        <w:tc>
          <w:tcPr>
            <w:tcW w:w="7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724" w:right="279" w:bottom="1440" w:gutter="0" w:footer="0" w:header="0"/>
        </w:sectPr>
      </w:pPr>
    </w:p>
    <w:bookmarkStart w:id="88" w:name="page89"/>
    <w:bookmarkEnd w:id="8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13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*10.22</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Restricted Stock Units Award Agreement under International Flavors &amp; Fragrances Inc. 2010 Stock Award and Incentive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Plan incorporated by reference to Exhibit 10.31 to Registrant’s Report on Form 10-Q filed on May 6, 2014.</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*10.23</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Purchased Restricted Stock Agreement under International Flavors &amp; Fragrances Inc. 2010 Stock Award and Incentive Plan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incorporated by reference to Exhibit 10.31 to Registrant’s Report on Form 10-K filed on February 28, 2012.</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*10.24</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Non-Employee Director’s Restricted Stock Units Agreement under International Flavors &amp; Fragrances Inc. 2010 Stock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Award and Incentive Plan incorporated by reference to Exhibit 10.32 to Registrant’s Report on Form 10-K filed on February 28,</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446"/>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*10.25</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Annual Bonus Award Agreement under International Flavors &amp; Fragrances Inc. 2010 Stock Award and Incentive Plan</w:t>
            </w:r>
          </w:p>
        </w:tc>
        <w:tc>
          <w:tcPr>
            <w:tcW w:w="0" w:type="dxa"/>
            <w:vAlign w:val="bottom"/>
          </w:tcPr>
          <w:p>
            <w:pPr>
              <w:spacing w:after="0"/>
              <w:rPr>
                <w:sz w:val="1"/>
                <w:szCs w:val="1"/>
                <w:color w:val="auto"/>
              </w:rPr>
            </w:pPr>
          </w:p>
        </w:tc>
      </w:tr>
      <w:tr>
        <w:trPr>
          <w:trHeight w:val="414"/>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*10.26</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Form of Long-Term Incentive Plan Award Agreement under International Flavors &amp; Fragrances Inc. 2010 Stock Award and Incentive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Plan</w:t>
            </w:r>
          </w:p>
        </w:tc>
        <w:tc>
          <w:tcPr>
            <w:tcW w:w="0" w:type="dxa"/>
            <w:vAlign w:val="bottom"/>
          </w:tcPr>
          <w:p>
            <w:pPr>
              <w:spacing w:after="0"/>
              <w:rPr>
                <w:sz w:val="1"/>
                <w:szCs w:val="1"/>
                <w:color w:val="auto"/>
              </w:rPr>
            </w:pPr>
          </w:p>
        </w:tc>
      </w:tr>
      <w:tr>
        <w:trPr>
          <w:trHeight w:val="414"/>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*10.27</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Stock Units Award Agreement, dated as of June 13, 2014, between International Flavors and Fragrances Inc. and Nicolas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Mirzayantz, incorporated by reference to Exhibit 10.5 to Registrant's Report on Form 10-Q Filed on August 5, 2014.</w:t>
            </w:r>
          </w:p>
        </w:tc>
        <w:tc>
          <w:tcPr>
            <w:tcW w:w="0" w:type="dxa"/>
            <w:vAlign w:val="bottom"/>
          </w:tcPr>
          <w:p>
            <w:pPr>
              <w:spacing w:after="0"/>
              <w:rPr>
                <w:sz w:val="1"/>
                <w:szCs w:val="1"/>
                <w:color w:val="auto"/>
              </w:rPr>
            </w:pPr>
          </w:p>
        </w:tc>
      </w:tr>
      <w:tr>
        <w:trPr>
          <w:trHeight w:val="414"/>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*10.28</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Equity Choice Program Award Agreement under International Flavors &amp; Fragrances Inc. 2010 Stock Award and Incentive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Plan incorporated by reference to Exhibit 10.2 to Registrant's Report on Form 10-Q Filed on May 6, 2014.</w:t>
            </w:r>
          </w:p>
        </w:tc>
        <w:tc>
          <w:tcPr>
            <w:tcW w:w="0" w:type="dxa"/>
            <w:vAlign w:val="bottom"/>
          </w:tcPr>
          <w:p>
            <w:pPr>
              <w:spacing w:after="0"/>
              <w:rPr>
                <w:sz w:val="1"/>
                <w:szCs w:val="1"/>
                <w:color w:val="auto"/>
              </w:rPr>
            </w:pPr>
          </w:p>
        </w:tc>
      </w:tr>
      <w:tr>
        <w:trPr>
          <w:trHeight w:val="373"/>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*10.29</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Stock Units Award Agreement, dated as of March 6, 2014, between International Flavors &amp; Fragrances Inc. and Hernan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Vaisman, incorporated by reference to Exhibit 10.3 to Registrant's Report on Form 10-Q Filed on May 6, 2014.</w:t>
            </w:r>
          </w:p>
        </w:tc>
        <w:tc>
          <w:tcPr>
            <w:tcW w:w="0" w:type="dxa"/>
            <w:vAlign w:val="bottom"/>
          </w:tcPr>
          <w:p>
            <w:pPr>
              <w:spacing w:after="0"/>
              <w:rPr>
                <w:sz w:val="1"/>
                <w:szCs w:val="1"/>
                <w:color w:val="auto"/>
              </w:rPr>
            </w:pPr>
          </w:p>
        </w:tc>
      </w:tr>
      <w:tr>
        <w:trPr>
          <w:trHeight w:val="432"/>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List of Principal Subsidiaries.</w:t>
            </w:r>
          </w:p>
        </w:tc>
        <w:tc>
          <w:tcPr>
            <w:tcW w:w="0" w:type="dxa"/>
            <w:vAlign w:val="bottom"/>
          </w:tcPr>
          <w:p>
            <w:pPr>
              <w:spacing w:after="0"/>
              <w:rPr>
                <w:sz w:val="1"/>
                <w:szCs w:val="1"/>
                <w:color w:val="auto"/>
              </w:rPr>
            </w:pPr>
          </w:p>
        </w:tc>
      </w:tr>
      <w:tr>
        <w:trPr>
          <w:trHeight w:val="500"/>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Consent of PricewaterhouseCoopers LLP.</w:t>
            </w:r>
          </w:p>
        </w:tc>
        <w:tc>
          <w:tcPr>
            <w:tcW w:w="0" w:type="dxa"/>
            <w:vAlign w:val="bottom"/>
          </w:tcPr>
          <w:p>
            <w:pPr>
              <w:spacing w:after="0"/>
              <w:rPr>
                <w:sz w:val="1"/>
                <w:szCs w:val="1"/>
                <w:color w:val="auto"/>
              </w:rPr>
            </w:pPr>
          </w:p>
        </w:tc>
      </w:tr>
      <w:tr>
        <w:trPr>
          <w:trHeight w:val="405"/>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Certification of Andreas Fibig pursuant to Section 302 of the Sarbanes-Oxley Act of 2002.</w:t>
            </w:r>
          </w:p>
        </w:tc>
        <w:tc>
          <w:tcPr>
            <w:tcW w:w="0" w:type="dxa"/>
            <w:vAlign w:val="bottom"/>
          </w:tcPr>
          <w:p>
            <w:pPr>
              <w:spacing w:after="0"/>
              <w:rPr>
                <w:sz w:val="1"/>
                <w:szCs w:val="1"/>
                <w:color w:val="auto"/>
              </w:rPr>
            </w:pPr>
          </w:p>
        </w:tc>
      </w:tr>
      <w:tr>
        <w:trPr>
          <w:trHeight w:val="500"/>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Certification of Richard A. O'Leary pursuant to Section 302 of the Sarbanes-Oxley Act of 2002.</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760" w:right="420" w:hanging="1014"/>
        <w:spacing w:after="0" w:line="282" w:lineRule="auto"/>
        <w:tabs>
          <w:tab w:leader="none" w:pos="1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Andreas Fibig and Richard A. O'Leary pursuant to 18 U.S.C. Section 1350 as adopted pursuant to the Sarbanes-Oxley Act of 2002.</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101.INS</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00"/>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6"/>
              </w:rPr>
              <w:t>101.SCH</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Extensions Schema</w:t>
            </w:r>
          </w:p>
        </w:tc>
      </w:tr>
      <w:tr>
        <w:trPr>
          <w:trHeight w:val="500"/>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101.CAL</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500"/>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101.DEF</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500"/>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101.LAB</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500"/>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9"/>
              </w:rPr>
              <w:t>101.PRE</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420" w:hanging="412"/>
        <w:spacing w:after="0"/>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80"/>
          </w:cols>
          <w:pgMar w:left="240" w:top="723" w:right="279" w:bottom="1440" w:gutter="0" w:footer="0" w:header="0"/>
        </w:sectPr>
      </w:pPr>
    </w:p>
    <w:bookmarkStart w:id="89" w:name="page90"/>
    <w:bookmarkEnd w:id="89"/>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91"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Richard A. O'Leary</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60" w:type="dxa"/>
            <w:vAlign w:val="bottom"/>
            <w:vMerge w:val="continue"/>
          </w:tcPr>
          <w:p>
            <w:pPr>
              <w:spacing w:after="0"/>
              <w:rPr>
                <w:sz w:val="20"/>
                <w:szCs w:val="20"/>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A. O'Leary</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Interim Chief Financial Officer, Vice President and Controller</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 2015</w:t>
      </w:r>
    </w:p>
    <w:p>
      <w:pPr>
        <w:spacing w:after="0" w:line="171"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012" w:right="239" w:bottom="1440" w:gutter="0" w:footer="0" w:header="0"/>
        </w:sectPr>
      </w:pPr>
    </w:p>
    <w:bookmarkStart w:id="90" w:name="page91"/>
    <w:bookmarkEnd w:id="90"/>
    <w:p>
      <w:pPr>
        <w:ind w:left="1920"/>
        <w:spacing w:after="0"/>
        <w:tabs>
          <w:tab w:leader="none" w:pos="6840" w:val="left"/>
          <w:tab w:leader="none" w:pos="103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Chief Executive Officer and 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34"/>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Andreas Fibig</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00" w:type="dxa"/>
            <w:vAlign w:val="bottom"/>
          </w:tcPr>
          <w:p>
            <w:pPr>
              <w:spacing w:after="0"/>
              <w:rPr>
                <w:sz w:val="20"/>
                <w:szCs w:val="20"/>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Andreas Fibig</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Richard A. O'Leary</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 Vice President and Controller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A. O'Leary</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Marcello V. Bottoli</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Marcello V. Bottoli</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Linda B. Buck</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Linda B. Buck</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 Michael Cook</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 Michael Cook</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Ducker</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Ducker</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Roger W. Ferguson, Jr.</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Roger W. Ferguson, Jr.</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Christina Gold</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Christina Gold</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Alexandra A. Herzan</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Alexandra A. Herzan</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Henry W. Howell, Jr.</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Henry W. Howell, Jr.</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Katherine M. Hudson</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Katherine M. Hudson</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Arthur C. Martinez</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Arthur C. Martinez</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Dale F. Morrison</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March 2, 2015</w:t>
            </w:r>
          </w:p>
        </w:tc>
      </w:tr>
      <w:tr>
        <w:trPr>
          <w:trHeight w:val="27"/>
        </w:trPr>
        <w:tc>
          <w:tcPr>
            <w:tcW w:w="444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Dale F. Morrison</w:t>
            </w:r>
          </w:p>
        </w:tc>
        <w:tc>
          <w:tcPr>
            <w:tcW w:w="5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69"/>
        </w:trPr>
        <w:tc>
          <w:tcPr>
            <w:tcW w:w="4440" w:type="dxa"/>
            <w:vAlign w:val="bottom"/>
          </w:tcPr>
          <w:p>
            <w:pPr>
              <w:spacing w:after="0"/>
              <w:rPr>
                <w:sz w:val="24"/>
                <w:szCs w:val="24"/>
                <w:color w:val="auto"/>
              </w:rPr>
            </w:pPr>
          </w:p>
        </w:tc>
        <w:tc>
          <w:tcPr>
            <w:tcW w:w="5140" w:type="dxa"/>
            <w:vAlign w:val="bottom"/>
          </w:tcPr>
          <w:p>
            <w:pPr>
              <w:jc w:val="right"/>
              <w:ind w:right="3690"/>
              <w:spacing w:after="0"/>
              <w:rPr>
                <w:sz w:val="20"/>
                <w:szCs w:val="20"/>
                <w:color w:val="auto"/>
              </w:rPr>
            </w:pPr>
            <w:r>
              <w:rPr>
                <w:rFonts w:ascii="Times New Roman" w:cs="Times New Roman" w:eastAsia="Times New Roman" w:hAnsi="Times New Roman"/>
                <w:sz w:val="18"/>
                <w:szCs w:val="18"/>
                <w:color w:val="auto"/>
              </w:rPr>
              <w:t>91</w:t>
            </w:r>
          </w:p>
        </w:tc>
        <w:tc>
          <w:tcPr>
            <w:tcW w:w="1400" w:type="dxa"/>
            <w:vAlign w:val="bottom"/>
          </w:tcPr>
          <w:p>
            <w:pPr>
              <w:spacing w:after="0"/>
              <w:rPr>
                <w:sz w:val="24"/>
                <w:szCs w:val="24"/>
                <w:color w:val="auto"/>
              </w:rPr>
            </w:pPr>
          </w:p>
        </w:tc>
      </w:tr>
    </w:tbl>
    <w:p>
      <w:pPr>
        <w:sectPr>
          <w:pgSz w:w="11900" w:h="16838" w:orient="portrait"/>
          <w:cols w:equalWidth="0" w:num="1">
            <w:col w:w="10980"/>
          </w:cols>
          <w:pgMar w:left="240" w:top="736" w:right="67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2"/>
                <w:szCs w:val="12"/>
                <w:color w:val="auto"/>
              </w:rPr>
            </w:pPr>
          </w:p>
        </w:tc>
        <w:tc>
          <w:tcPr>
            <w:tcW w:w="10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off</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69"/>
        </w:trPr>
        <w:tc>
          <w:tcPr>
            <w:tcW w:w="44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Allowance for doubtful accounts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10,493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222</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9,147</w:t>
            </w:r>
          </w:p>
        </w:tc>
        <w:tc>
          <w:tcPr>
            <w:tcW w:w="0" w:type="dxa"/>
            <w:vAlign w:val="bottom"/>
          </w:tcPr>
          <w:p>
            <w:pPr>
              <w:spacing w:after="0"/>
              <w:rPr>
                <w:sz w:val="1"/>
                <w:szCs w:val="1"/>
                <w:color w:val="auto"/>
              </w:rPr>
            </w:pPr>
          </w:p>
        </w:tc>
      </w:tr>
      <w:tr>
        <w:trPr>
          <w:trHeight w:val="225"/>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 on credit and operating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carryforwards and other net deferred tax assets</w:t>
            </w:r>
          </w:p>
        </w:tc>
        <w:tc>
          <w:tcPr>
            <w:tcW w:w="22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503,990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 xml:space="preserve">(92,204)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355,568</w:t>
            </w:r>
          </w:p>
        </w:tc>
        <w:tc>
          <w:tcPr>
            <w:tcW w:w="0" w:type="dxa"/>
            <w:vAlign w:val="bottom"/>
          </w:tcPr>
          <w:p>
            <w:pPr>
              <w:spacing w:after="0"/>
              <w:rPr>
                <w:sz w:val="1"/>
                <w:szCs w:val="1"/>
                <w:color w:val="auto"/>
              </w:rPr>
            </w:pPr>
          </w:p>
        </w:tc>
      </w:tr>
      <w:tr>
        <w:trPr>
          <w:trHeight w:val="199"/>
        </w:trPr>
        <w:tc>
          <w:tcPr>
            <w:tcW w:w="4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8"/>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Year Ended December 31, 2013</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2"/>
                <w:szCs w:val="12"/>
                <w:color w:val="auto"/>
              </w:rPr>
            </w:pPr>
          </w:p>
        </w:tc>
        <w:tc>
          <w:tcPr>
            <w:tcW w:w="10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off</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69"/>
        </w:trPr>
        <w:tc>
          <w:tcPr>
            <w:tcW w:w="44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Allowance for doubtful accounts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9,293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1,984</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10,493</w:t>
            </w:r>
          </w:p>
        </w:tc>
        <w:tc>
          <w:tcPr>
            <w:tcW w:w="0" w:type="dxa"/>
            <w:vAlign w:val="bottom"/>
          </w:tcPr>
          <w:p>
            <w:pPr>
              <w:spacing w:after="0"/>
              <w:rPr>
                <w:sz w:val="1"/>
                <w:szCs w:val="1"/>
                <w:color w:val="auto"/>
              </w:rPr>
            </w:pPr>
          </w:p>
        </w:tc>
      </w:tr>
      <w:tr>
        <w:trPr>
          <w:trHeight w:val="225"/>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 on credit and operating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carryforwards and other net deferred tax assets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450,733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38,360</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14,897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503,990</w:t>
            </w:r>
          </w:p>
        </w:tc>
        <w:tc>
          <w:tcPr>
            <w:tcW w:w="0" w:type="dxa"/>
            <w:vAlign w:val="bottom"/>
          </w:tcPr>
          <w:p>
            <w:pPr>
              <w:spacing w:after="0"/>
              <w:rPr>
                <w:sz w:val="1"/>
                <w:szCs w:val="1"/>
                <w:color w:val="auto"/>
              </w:rPr>
            </w:pPr>
          </w:p>
        </w:tc>
      </w:tr>
      <w:tr>
        <w:trPr>
          <w:trHeight w:val="297"/>
        </w:trPr>
        <w:tc>
          <w:tcPr>
            <w:tcW w:w="4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8"/>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Year Ended December 31, 2012</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2"/>
                <w:szCs w:val="12"/>
                <w:color w:val="auto"/>
              </w:rPr>
            </w:pPr>
          </w:p>
        </w:tc>
        <w:tc>
          <w:tcPr>
            <w:tcW w:w="10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off</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69"/>
        </w:trPr>
        <w:tc>
          <w:tcPr>
            <w:tcW w:w="44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Allowance for doubtful accounts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3,639</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9,293</w:t>
            </w:r>
          </w:p>
        </w:tc>
        <w:tc>
          <w:tcPr>
            <w:tcW w:w="0" w:type="dxa"/>
            <w:vAlign w:val="bottom"/>
          </w:tcPr>
          <w:p>
            <w:pPr>
              <w:spacing w:after="0"/>
              <w:rPr>
                <w:sz w:val="1"/>
                <w:szCs w:val="1"/>
                <w:color w:val="auto"/>
              </w:rPr>
            </w:pPr>
          </w:p>
        </w:tc>
      </w:tr>
      <w:tr>
        <w:trPr>
          <w:trHeight w:val="225"/>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 on credit and operating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carryforwards and other net deferred tax assets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290,879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153,718</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450,733</w:t>
            </w:r>
          </w:p>
        </w:tc>
        <w:tc>
          <w:tcPr>
            <w:tcW w:w="0" w:type="dxa"/>
            <w:vAlign w:val="bottom"/>
          </w:tcPr>
          <w:p>
            <w:pPr>
              <w:spacing w:after="0"/>
              <w:rPr>
                <w:sz w:val="1"/>
                <w:szCs w:val="1"/>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0" w:hanging="192"/>
        <w:spacing w:after="0" w:line="191" w:lineRule="auto"/>
        <w:tabs>
          <w:tab w:leader="none" w:pos="2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Amounts have been revised to properly reflect a $2.1 million prior period adjustment.</w:t>
      </w:r>
    </w:p>
    <w:p>
      <w:pPr>
        <w:spacing w:after="0" w:line="2" w:lineRule="exact"/>
        <w:rPr>
          <w:rFonts w:ascii="Times New Roman" w:cs="Times New Roman" w:eastAsia="Times New Roman" w:hAnsi="Times New Roman"/>
          <w:sz w:val="24"/>
          <w:szCs w:val="24"/>
          <w:color w:val="auto"/>
          <w:vertAlign w:val="superscript"/>
        </w:rPr>
      </w:pPr>
    </w:p>
    <w:p>
      <w:pPr>
        <w:ind w:right="200" w:firstLine="8"/>
        <w:spacing w:after="0" w:line="224" w:lineRule="auto"/>
        <w:tabs>
          <w:tab w:leader="none" w:pos="192"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2014 amount includes an adjustment to the 2013 foreign net operating loss carryforwards in the amount of $81 million, as discussed in Note 9 of the Consolidated Financial Statements.</w:t>
      </w:r>
    </w:p>
    <w:p>
      <w:pPr>
        <w:spacing w:after="0" w:line="1" w:lineRule="exact"/>
        <w:rPr>
          <w:rFonts w:ascii="Times New Roman" w:cs="Times New Roman" w:eastAsia="Times New Roman" w:hAnsi="Times New Roman"/>
          <w:sz w:val="23"/>
          <w:szCs w:val="23"/>
          <w:color w:val="auto"/>
          <w:vertAlign w:val="superscript"/>
        </w:rPr>
      </w:pPr>
    </w:p>
    <w:p>
      <w:pPr>
        <w:ind w:right="200" w:firstLine="8"/>
        <w:spacing w:after="0" w:line="225" w:lineRule="auto"/>
        <w:tabs>
          <w:tab w:leader="none" w:pos="192"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2013 amount includes an adjustment to the 2012 foreign net operating loss carryforwards in the amount of $30 million</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as discussed in Note 9 of the Consolidated Financial Statements.</w:t>
      </w:r>
    </w:p>
    <w:p>
      <w:pPr>
        <w:ind w:left="60" w:right="140" w:firstLine="2"/>
        <w:spacing w:after="0" w:line="233" w:lineRule="auto"/>
        <w:tabs>
          <w:tab w:leader="none" w:pos="252" w:val="left"/>
        </w:tabs>
        <w:numPr>
          <w:ilvl w:val="1"/>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During 2012, the Company increased its deferred tax assets by $129 million. The 2012 amount includes an adjustment to the 2011 foreign net operating loss carryforwards in the amount of $74 million and a $55 million increase related to current year internally generated intangible assets. This entire increase of $129 million was offset by a corresponding increase in valuation allowances.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20"/>
          </w:cols>
          <w:pgMar w:left="240" w:top="576" w:right="239" w:bottom="1440" w:gutter="0" w:footer="0" w:header="0"/>
        </w:sectPr>
      </w:pPr>
    </w:p>
    <w:bookmarkStart w:id="92" w:name="page93"/>
    <w:bookmarkEnd w:id="9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INVESTOR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27" w:lineRule="exact"/>
        <w:rPr>
          <w:sz w:val="20"/>
          <w:szCs w:val="20"/>
          <w:color w:val="auto"/>
        </w:rPr>
      </w:pPr>
    </w:p>
    <w:p>
      <w:pPr>
        <w:ind w:right="180" w:firstLine="405"/>
        <w:spacing w:after="0" w:line="211" w:lineRule="auto"/>
        <w:rPr>
          <w:sz w:val="20"/>
          <w:szCs w:val="20"/>
          <w:color w:val="auto"/>
        </w:rPr>
      </w:pPr>
      <w:r>
        <w:rPr>
          <w:rFonts w:ascii="Times New Roman" w:cs="Times New Roman" w:eastAsia="Times New Roman" w:hAnsi="Times New Roman"/>
          <w:sz w:val="18"/>
          <w:szCs w:val="18"/>
          <w:color w:val="auto"/>
        </w:rPr>
        <w:t>The Annual Meeting of Shareholders will be held at the offices of the Company, 521 West 57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Street, New York, New York, on May 6, 2015 at 10:00 a.m., EDT.</w:t>
      </w:r>
    </w:p>
    <w:p>
      <w:pPr>
        <w:spacing w:after="0" w:line="14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IFF will be furnishing proxy materials to shareholders on the internet, rather than mailing printed copies of those materials to each shareholder. A Notice of Internet Availability of Proxy Materials will be mailed to each shareholder on or about March 18, 2015, which will provide instructions as to how shareholders may access and review the proxy materials for the 2015 Annual Meeting on the website referred to in the Notice or, alternatively, how to request a printed copy of the proxy materials be sent to them by mail.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American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Maiden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800-937-5449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www.amstock.com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LISTED</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www.iff.com</w:t>
      </w:r>
    </w:p>
    <w:p>
      <w:pPr>
        <w:sectPr>
          <w:pgSz w:w="11900" w:h="16838" w:orient="portrait"/>
          <w:cols w:equalWidth="0" w:num="1">
            <w:col w:w="11380"/>
          </w:cols>
          <w:pgMar w:left="240" w:top="576" w:right="2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EXHIBIT 21</w:t>
            </w: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1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LIST OF SUBSIDIARIES OF INTERNATIONAL FLAVORS &amp; FRAGRANCES INC.</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Entity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9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Flavors &amp; Fragrances SRL</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Argentina</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Bush Boake Allen Australia Pty Ltd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IFF Australia Holdings Pty Ltd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 Flavours &amp; Fragrances (Australia) Pty Ltd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Alva Insurance Ltd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I.F.F. Essencias e Fragrancias Ltda.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Bush Boake Allen Industria E Commercial do Brasil Limitada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 Flavors &amp; Fragrances I.F.F. (Canada) Ltd.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Bush Boake Allen (Chile) S.A.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IFF Sabores y Fragancias de Chile Ltda.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Borders>
              <w:right w:val="single" w:sz="8" w:color="CCEEFF"/>
            </w:tcBorders>
          </w:tcPr>
          <w:p>
            <w:pPr>
              <w:spacing w:after="0"/>
              <w:rPr>
                <w:sz w:val="19"/>
                <w:szCs w:val="19"/>
                <w:color w:val="auto"/>
              </w:rPr>
            </w:pPr>
          </w:p>
        </w:tc>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Flavors &amp; Fragrances I.F.F. (Chile) Limitada</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9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 Flavors &amp; Fragrances (Hangzhou) Co. Ltd1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Borders>
              <w:right w:val="single" w:sz="8" w:color="CCEEFF"/>
            </w:tcBorders>
          </w:tcPr>
          <w:p>
            <w:pPr>
              <w:spacing w:after="0"/>
              <w:rPr>
                <w:sz w:val="19"/>
                <w:szCs w:val="19"/>
                <w:color w:val="auto"/>
              </w:rPr>
            </w:pPr>
          </w:p>
        </w:tc>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IFF Flavors &amp; Fragrances (Hangzhou) Trading Co.</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9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 Flavors &amp; Fragrances (Zhejiang) Co., Ltd.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Flavors &amp; Fragrances (China) Ltd.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Sabores y Fragancias S.A.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Flavors &amp; Fragrances (Middle East) FZ-LLC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Dubai</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Misr Co. for Aromatic Products (MARP) S.A.E.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Egypt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Flavors &amp; Fragrances I.F.F. (France) SAS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France</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 Flavors &amp; Fragrances I.F.F. (Deutschland) G.m.b.H.</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IFF Worldwide (Gibraltar) Limited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Gibraltar</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IFF (Gibraltar) Holdings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Gibraltar</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Flavors &amp; Fragrances (Hong Kong) Limited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Essence Scientific Research Private Limited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Fragrance Holdings Private Limited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 Flavours &amp; Fragrances India Private Limited2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P.T. Essence Indonesia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Indonesia</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IFF Capital Services Ltd.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IFF Financial Services Ltd.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Irish Flavours and Fragrances Limited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Aromatics Holdings Limited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 Flavors &amp; Fragrances Irish Acquisition Company Limited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Aromor Flavor &amp; Fragrances Ltd.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BKF Vision Ltd.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Borders>
              <w:right w:val="single" w:sz="8" w:color="CCEEFF"/>
            </w:tcBorders>
          </w:tcPr>
          <w:p>
            <w:pPr>
              <w:spacing w:after="0"/>
              <w:rPr>
                <w:sz w:val="19"/>
                <w:szCs w:val="19"/>
                <w:color w:val="auto"/>
              </w:rPr>
            </w:pPr>
          </w:p>
        </w:tc>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K-Vision Consulting and Investments Ltd.</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9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M.P. Equity Holdings Ltd.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Flavors &amp; Fragrances I.F.F. (Israel) Ltd.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 Flavors &amp; Fragrances I.F.F. (Italia) S.r.l.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Italy</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Bush Boake Allen (Jamaica) Limited3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Jamaica</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 Flavors &amp; Fragrances (Japan) Ltd.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IFF (Korea) Inc.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IFF (Gibraltar) Holdings (Luxembourg) SCS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Flavors &amp; Fragrances (Luxembourg) S.a.r.l.</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International Flavors &amp; Fragrances Ardenne S.a.r.l.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Flavours &amp; Fragrances (Mauritius) Ltd.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Mauritius</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140" w:type="dxa"/>
            <w:vAlign w:val="bottom"/>
            <w:gridSpan w:val="2"/>
          </w:tcPr>
          <w:p>
            <w:pPr>
              <w:jc w:val="right"/>
              <w:ind w:right="8210"/>
              <w:spacing w:after="0" w:line="180" w:lineRule="exact"/>
              <w:rPr>
                <w:sz w:val="20"/>
                <w:szCs w:val="20"/>
                <w:color w:val="auto"/>
              </w:rPr>
            </w:pPr>
            <w:r>
              <w:rPr>
                <w:rFonts w:ascii="Times New Roman" w:cs="Times New Roman" w:eastAsia="Times New Roman" w:hAnsi="Times New Roman"/>
                <w:sz w:val="16"/>
                <w:szCs w:val="16"/>
                <w:color w:val="auto"/>
                <w:w w:val="98"/>
              </w:rPr>
              <w:t>_______________________</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11"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90% of the voting stock of International Flavors &amp; Fragrances (Hangzhou) Co. Ltd., is owned, directly or indirectly, by the Company.</w:t>
      </w:r>
    </w:p>
    <w:p>
      <w:pPr>
        <w:ind w:left="660" w:hanging="652"/>
        <w:spacing w:after="0" w:line="211" w:lineRule="auto"/>
        <w:tabs>
          <w:tab w:leader="none" w:pos="6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93.36% of the voting stock of International Flavours &amp; Fragrances (India) Limited is owned, directly or indirectly, by the Company.</w:t>
      </w:r>
    </w:p>
    <w:p>
      <w:pPr>
        <w:spacing w:after="0" w:line="1"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 of the voting stock of Bush Boake Allen (Jamaica) Limited is owned, directly or indirectly, by the Company.</w:t>
      </w:r>
    </w:p>
    <w:p>
      <w:pPr>
        <w:sectPr>
          <w:pgSz w:w="11900" w:h="16838" w:orient="portrait"/>
          <w:cols w:equalWidth="0" w:num="1">
            <w:col w:w="11420"/>
          </w:cols>
          <w:pgMar w:left="240" w:top="121"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Bush Boake Allen Controladora S.A. de C.V.</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IFF Mexico Manufactura S.A. de C.V.</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(Mexico) S. de R.L. de C.V.</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Bush Boake Allen Benelux B.V.</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rPr>
              <w:t>Netherland</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(Nederland) Holding B.V.</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rPr>
              <w:t>Netherland</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I.F.F. (Nederland) B.V.</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rPr>
              <w:t>Netherland</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IFF Luxar C.V.</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rPr>
              <w:t>Netherland</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Flavours &amp; Fragrances (NZ) Ltd</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rPr>
              <w:t>New Zealand</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Bush Boake Allen (NZ) Ltd</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rPr>
              <w:t>New Zealand</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(Philippines), Inc.</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w w:val="99"/>
              </w:rPr>
              <w:t>Philippines</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(Poland) Sp.z.o.o.</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w w:val="98"/>
              </w:rPr>
              <w:t>Poland</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(Greater Asia) Pte Ltd</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w w:val="98"/>
              </w:rPr>
              <w:t>Singapore</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(Asia Pacific) Pte Ltd</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w w:val="98"/>
              </w:rPr>
              <w:t>Singapore</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I.F.F. (S.A.) (Pty) Ltd.</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rPr>
              <w:t>South Africa</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I.F. F. (Espana) S.A.</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w w:val="98"/>
              </w:rPr>
              <w:t>Spain</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IFF Latin American Holdings (Espana) S.L.</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w w:val="98"/>
              </w:rPr>
              <w:t>Spain</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IFF - Benicarlo S.L.</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w w:val="98"/>
              </w:rPr>
              <w:t>Spain</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I.F.F. (Norden) AB</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rPr>
              <w:t>Sweden</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I.F.F. (Switzerland) A.G.</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w w:val="99"/>
              </w:rPr>
              <w:t>Switzerland</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Flavours &amp; Fragrances (Thailand) Ltd.</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w w:val="98"/>
              </w:rPr>
              <w:t>Thailand</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IFF Aroma Esans Sanayi Ve Ticaret A.S.</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rPr>
              <w:t>Turkey</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 Boake, Roberts And Company (Holding), Limited</w:t>
            </w:r>
          </w:p>
        </w:tc>
        <w:tc>
          <w:tcPr>
            <w:tcW w:w="41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Flavours &amp; Fragrances (CIL) Limited</w:t>
            </w:r>
          </w:p>
        </w:tc>
        <w:tc>
          <w:tcPr>
            <w:tcW w:w="4160" w:type="dxa"/>
            <w:vAlign w:val="bottom"/>
            <w:tcBorders>
              <w:bottom w:val="single" w:sz="8" w:color="CCEEFF"/>
            </w:tcBorders>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Bush Boake Allen Enterprises Ltd.</w:t>
            </w:r>
          </w:p>
        </w:tc>
        <w:tc>
          <w:tcPr>
            <w:tcW w:w="41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Bush Boake Allen Limited</w:t>
            </w:r>
          </w:p>
        </w:tc>
        <w:tc>
          <w:tcPr>
            <w:tcW w:w="4160" w:type="dxa"/>
            <w:vAlign w:val="bottom"/>
            <w:tcBorders>
              <w:bottom w:val="single" w:sz="8" w:color="CCEEFF"/>
            </w:tcBorders>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Bush Boake Allen (Pension Trustees) Limited</w:t>
            </w:r>
          </w:p>
        </w:tc>
        <w:tc>
          <w:tcPr>
            <w:tcW w:w="41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Bush Boake Allen Pension Investments Limited</w:t>
            </w:r>
          </w:p>
        </w:tc>
        <w:tc>
          <w:tcPr>
            <w:tcW w:w="4160" w:type="dxa"/>
            <w:vAlign w:val="bottom"/>
            <w:tcBorders>
              <w:bottom w:val="single" w:sz="8" w:color="CCEEFF"/>
            </w:tcBorders>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Bush Boake Allen Holdings (U.K.) Limited</w:t>
            </w:r>
          </w:p>
        </w:tc>
        <w:tc>
          <w:tcPr>
            <w:tcW w:w="41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IFF Augusta Limited</w:t>
            </w:r>
          </w:p>
        </w:tc>
        <w:tc>
          <w:tcPr>
            <w:tcW w:w="4160" w:type="dxa"/>
            <w:vAlign w:val="bottom"/>
            <w:tcBorders>
              <w:bottom w:val="single" w:sz="8" w:color="CCEEFF"/>
            </w:tcBorders>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IFF Augusta II Limited</w:t>
            </w:r>
          </w:p>
        </w:tc>
        <w:tc>
          <w:tcPr>
            <w:tcW w:w="41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Flavours &amp; Fragrances (GB) Holdings Limited</w:t>
            </w:r>
          </w:p>
        </w:tc>
        <w:tc>
          <w:tcPr>
            <w:tcW w:w="4160" w:type="dxa"/>
            <w:vAlign w:val="bottom"/>
            <w:tcBorders>
              <w:bottom w:val="single" w:sz="8" w:color="CCEEFF"/>
            </w:tcBorders>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Flavours &amp; Fragrances I.F.F. (Great Britain) Ltd.</w:t>
            </w:r>
          </w:p>
        </w:tc>
        <w:tc>
          <w:tcPr>
            <w:tcW w:w="41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rPr>
              <w:t>England</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Asian Investments, Inc.</w:t>
            </w:r>
          </w:p>
        </w:tc>
        <w:tc>
          <w:tcPr>
            <w:tcW w:w="4160" w:type="dxa"/>
            <w:vAlign w:val="bottom"/>
            <w:tcBorders>
              <w:bottom w:val="single" w:sz="8" w:color="CCEEFF"/>
            </w:tcBorders>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Bush Boake Allen Inc.</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w w:val="97"/>
              </w:rPr>
              <w:t>Virginia</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IFF Chemical Holdings Inc.</w:t>
            </w:r>
          </w:p>
        </w:tc>
        <w:tc>
          <w:tcPr>
            <w:tcW w:w="4160" w:type="dxa"/>
            <w:vAlign w:val="bottom"/>
            <w:tcBorders>
              <w:bottom w:val="single" w:sz="8" w:color="CCEEFF"/>
            </w:tcBorders>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IFF International Inc.</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rPr>
              <w:t>New York</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IFF Augusta Holdings LLC</w:t>
            </w:r>
          </w:p>
        </w:tc>
        <w:tc>
          <w:tcPr>
            <w:tcW w:w="4160" w:type="dxa"/>
            <w:vAlign w:val="bottom"/>
            <w:tcBorders>
              <w:bottom w:val="single" w:sz="8" w:color="CCEEFF"/>
            </w:tcBorders>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Aromor Flavors &amp; Fragrances Inc.</w:t>
            </w:r>
          </w:p>
        </w:tc>
        <w:tc>
          <w:tcPr>
            <w:tcW w:w="41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rPr>
              <w:t>Delaware</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(Caribe) Inc.</w:t>
            </w:r>
          </w:p>
        </w:tc>
        <w:tc>
          <w:tcPr>
            <w:tcW w:w="4160" w:type="dxa"/>
            <w:vAlign w:val="bottom"/>
            <w:tcBorders>
              <w:bottom w:val="single" w:sz="8" w:color="CCEEFF"/>
            </w:tcBorders>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IFF Delaware Holdings, LLC</w:t>
            </w:r>
          </w:p>
        </w:tc>
        <w:tc>
          <w:tcPr>
            <w:tcW w:w="41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rPr>
              <w:t>Delaware</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 Ameringen-Haebler, Inc.</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rPr>
              <w:t>New York</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Fragrances Ingredients Holdings Inc.</w:t>
            </w:r>
          </w:p>
        </w:tc>
        <w:tc>
          <w:tcPr>
            <w:tcW w:w="41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rPr>
              <w:t>Delaware</w:t>
            </w:r>
          </w:p>
        </w:tc>
      </w:tr>
      <w:tr>
        <w:trPr>
          <w:trHeight w:val="33"/>
        </w:trPr>
        <w:tc>
          <w:tcPr>
            <w:tcW w:w="72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Bush Boake Allen Zimbabwe (Private) Limited</w:t>
            </w:r>
          </w:p>
        </w:tc>
        <w:tc>
          <w:tcPr>
            <w:tcW w:w="4160" w:type="dxa"/>
            <w:vAlign w:val="bottom"/>
            <w:tcBorders>
              <w:bottom w:val="single" w:sz="8" w:color="CCEEFF"/>
            </w:tcBorders>
            <w:shd w:val="clear" w:color="auto" w:fill="CCEEFF"/>
          </w:tcPr>
          <w:p>
            <w:pPr>
              <w:jc w:val="center"/>
              <w:ind w:left="2839"/>
              <w:spacing w:after="0"/>
              <w:rPr>
                <w:sz w:val="20"/>
                <w:szCs w:val="20"/>
                <w:color w:val="auto"/>
              </w:rPr>
            </w:pPr>
            <w:r>
              <w:rPr>
                <w:rFonts w:ascii="Times New Roman" w:cs="Times New Roman" w:eastAsia="Times New Roman" w:hAnsi="Times New Roman"/>
                <w:sz w:val="16"/>
                <w:szCs w:val="16"/>
                <w:color w:val="auto"/>
                <w:w w:val="99"/>
              </w:rPr>
              <w:t>Zimbabwe</w:t>
            </w:r>
          </w:p>
        </w:tc>
      </w:tr>
      <w:tr>
        <w:trPr>
          <w:trHeight w:val="224"/>
        </w:trPr>
        <w:tc>
          <w:tcPr>
            <w:tcW w:w="7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Flavors &amp; Fragrances (Zimbabwe) (Private) Ltd.</w:t>
            </w:r>
          </w:p>
        </w:tc>
        <w:tc>
          <w:tcPr>
            <w:tcW w:w="416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w w:val="99"/>
              </w:rPr>
              <w:t>Zimbabwe</w:t>
            </w: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896"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333-46932 and No. 333-59689) and Form S-8 (No. 333-126421, No. 333-120158, No. 333-102825, No. 333-61072, No. 333-51436, No. 333-50752, No. 033-54423, No. 333-171297 and No. 333-187426) of International Flavors &amp; Fragrances Inc. of our report dated March 2, 2015 relating to the financial statements, financial statement schedule and the effectiveness of internal control over financial reporting, which appears in this Annual Report on Form 10-K.</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3601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2, 2015</w:t>
      </w:r>
    </w:p>
    <w:p>
      <w:pPr>
        <w:sectPr>
          <w:pgSz w:w="11900" w:h="16838" w:orient="portrait"/>
          <w:cols w:equalWidth="0" w:num="1">
            <w:col w:w="11420"/>
          </w:cols>
          <w:pgMar w:left="240" w:top="661"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Andreas Fibig, certify that:</w:t>
      </w:r>
    </w:p>
    <w:p>
      <w:pPr>
        <w:spacing w:after="0" w:line="171"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International Flavors &amp; Fragrances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800" w:right="40" w:hanging="658"/>
        <w:spacing w:after="0" w:line="266" w:lineRule="auto"/>
        <w:tabs>
          <w:tab w:leader="none" w:pos="18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800" w:right="100" w:hanging="658"/>
        <w:spacing w:after="0" w:line="266" w:lineRule="auto"/>
        <w:tabs>
          <w:tab w:leader="none" w:pos="18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800" w:right="200" w:hanging="658"/>
        <w:spacing w:after="0" w:line="266" w:lineRule="auto"/>
        <w:tabs>
          <w:tab w:leader="none" w:pos="18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800" w:right="300" w:hanging="658"/>
        <w:spacing w:after="0" w:line="266" w:lineRule="auto"/>
        <w:tabs>
          <w:tab w:leader="none" w:pos="18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800" w:right="140" w:hanging="658"/>
        <w:spacing w:after="0" w:line="282" w:lineRule="auto"/>
        <w:tabs>
          <w:tab w:leader="none" w:pos="18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800" w:right="420" w:hanging="658"/>
        <w:spacing w:after="0" w:line="282" w:lineRule="auto"/>
        <w:tabs>
          <w:tab w:leader="none" w:pos="18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2015</w:t>
      </w:r>
    </w:p>
    <w:p>
      <w:pPr>
        <w:spacing w:after="0" w:line="252" w:lineRule="exact"/>
        <w:rPr>
          <w:sz w:val="20"/>
          <w:szCs w:val="20"/>
          <w:color w:val="auto"/>
        </w:rPr>
      </w:pPr>
    </w:p>
    <w:tbl>
      <w:tblPr>
        <w:tblLayout w:type="fixed"/>
        <w:tblInd w:w="478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Andreas Fibig</w:t>
            </w:r>
          </w:p>
        </w:tc>
      </w:tr>
      <w:tr>
        <w:trPr>
          <w:trHeight w:val="27"/>
        </w:trPr>
        <w:tc>
          <w:tcPr>
            <w:tcW w:w="9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Andreas Fibig</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ectPr>
          <w:pgSz w:w="11900" w:h="16838" w:orient="portrait"/>
          <w:cols w:equalWidth="0" w:num="1">
            <w:col w:w="11420"/>
          </w:cols>
          <w:pgMar w:left="240" w:top="661"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 O'Leary, certify that:</w:t>
      </w:r>
    </w:p>
    <w:p>
      <w:pPr>
        <w:spacing w:after="0" w:line="171"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International Flavors &amp; Fragrances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800" w:right="40" w:hanging="658"/>
        <w:spacing w:after="0" w:line="266" w:lineRule="auto"/>
        <w:tabs>
          <w:tab w:leader="none" w:pos="1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800" w:right="100" w:hanging="658"/>
        <w:spacing w:after="0" w:line="266" w:lineRule="auto"/>
        <w:tabs>
          <w:tab w:leader="none" w:pos="1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800" w:right="200" w:hanging="658"/>
        <w:spacing w:after="0" w:line="266" w:lineRule="auto"/>
        <w:tabs>
          <w:tab w:leader="none" w:pos="1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800" w:right="300" w:hanging="658"/>
        <w:spacing w:after="0" w:line="266" w:lineRule="auto"/>
        <w:tabs>
          <w:tab w:leader="none" w:pos="1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800" w:right="140" w:hanging="658"/>
        <w:spacing w:after="0" w:line="282" w:lineRule="auto"/>
        <w:tabs>
          <w:tab w:leader="none" w:pos="1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800" w:right="420" w:hanging="658"/>
        <w:spacing w:after="0" w:line="282" w:lineRule="auto"/>
        <w:tabs>
          <w:tab w:leader="none" w:pos="1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2015</w:t>
      </w:r>
    </w:p>
    <w:p>
      <w:pPr>
        <w:spacing w:after="0" w:line="252" w:lineRule="exact"/>
        <w:rPr>
          <w:sz w:val="20"/>
          <w:szCs w:val="20"/>
          <w:color w:val="auto"/>
        </w:rPr>
      </w:pPr>
    </w:p>
    <w:tbl>
      <w:tblPr>
        <w:tblLayout w:type="fixed"/>
        <w:tblInd w:w="478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Richard A. O'Leary</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Richard A. O'Leary</w:t>
            </w:r>
          </w:p>
        </w:tc>
        <w:tc>
          <w:tcPr>
            <w:tcW w:w="0" w:type="dxa"/>
            <w:vAlign w:val="bottom"/>
          </w:tcPr>
          <w:p>
            <w:pPr>
              <w:spacing w:after="0"/>
              <w:rPr>
                <w:sz w:val="1"/>
                <w:szCs w:val="1"/>
                <w:color w:val="auto"/>
              </w:rPr>
            </w:pPr>
          </w:p>
        </w:tc>
      </w:tr>
      <w:tr>
        <w:trPr>
          <w:trHeight w:val="81"/>
        </w:trPr>
        <w:tc>
          <w:tcPr>
            <w:tcW w:w="960" w:type="dxa"/>
            <w:vAlign w:val="bottom"/>
            <w:vMerge w:val="continue"/>
          </w:tcPr>
          <w:p>
            <w:pPr>
              <w:spacing w:after="0"/>
              <w:rPr>
                <w:sz w:val="7"/>
                <w:szCs w:val="7"/>
                <w:color w:val="auto"/>
              </w:rPr>
            </w:pPr>
          </w:p>
        </w:tc>
        <w:tc>
          <w:tcPr>
            <w:tcW w:w="5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 Vice President and Controller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International Flavors &amp; Fragrances Inc. (the “Company”) for the fiscal year ended December 31, 2014 as filed with the Securities and Exchange Commission on the date hereof (the “Report”), Andreas Fibig, as Chief Executive Officer of the Company, and Richard A. O'Leary, as Interim Chief Financial Officer, each hereby certifies, pursuant to 18 U.S.C. Section 1350, as adopted pursuant to Section 906 of the Sarbanes-Oxley Act of 2002, that, to the best of his knowledge:</w:t>
      </w:r>
    </w:p>
    <w:p>
      <w:pPr>
        <w:spacing w:after="0" w:line="126" w:lineRule="exact"/>
        <w:rPr>
          <w:sz w:val="20"/>
          <w:szCs w:val="20"/>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720" w:firstLine="8"/>
        <w:spacing w:after="0" w:line="470"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March 2, 2015</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Andreas Fibig</w:t>
            </w:r>
          </w:p>
        </w:tc>
      </w:tr>
      <w:tr>
        <w:trPr>
          <w:trHeight w:val="27"/>
        </w:trPr>
        <w:tc>
          <w:tcPr>
            <w:tcW w:w="12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Andreas Fibig</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40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A. O'Leary</w:t>
            </w:r>
          </w:p>
        </w:tc>
      </w:tr>
      <w:tr>
        <w:trPr>
          <w:trHeight w:val="27"/>
        </w:trPr>
        <w:tc>
          <w:tcPr>
            <w:tcW w:w="12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 O'Leary</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 Vice President and Controller</w:t>
            </w:r>
          </w:p>
        </w:tc>
      </w:tr>
    </w:tbl>
    <w:p>
      <w:pPr>
        <w:spacing w:after="0" w:line="1" w:lineRule="exact"/>
        <w:rPr>
          <w:sz w:val="20"/>
          <w:szCs w:val="20"/>
          <w:color w:val="auto"/>
        </w:rPr>
      </w:pP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2"/>
    </w:lvl>
    <w:lvl w:ilvl="1">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lvl w:ilvl="1">
      <w:lvlJc w:val="left"/>
      <w:lvlText w:val="◦"/>
      <w:numFmt w:val="bullet"/>
      <w:start w:val="1"/>
    </w:lvl>
  </w:abstractNum>
  <w:abstractNum w:abstractNumId="6">
    <w:nsid w:val="8138641"/>
    <w:multiLevelType w:val="hybridMultilevel"/>
    <w:lvl w:ilvl="0">
      <w:lvlJc w:val="left"/>
      <w:lvlText w:val="•"/>
      <w:numFmt w:val="bullet"/>
      <w:start w:val="1"/>
    </w:lvl>
    <w:lvl w:ilvl="1">
      <w:lvlJc w:val="left"/>
      <w:lvlText w:val="•"/>
      <w:numFmt w:val="bullet"/>
      <w:start w:val="1"/>
    </w:lvl>
  </w:abstractNum>
  <w:abstractNum w:abstractNumId="7">
    <w:nsid w:val="1E7FF521"/>
    <w:multiLevelType w:val="hybridMultilevel"/>
    <w:lvl w:ilvl="0">
      <w:lvlJc w:val="left"/>
      <w:lvlText w:val="(%1)"/>
      <w:numFmt w:val="lowerRoman"/>
      <w:start w:val="2"/>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4"/>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lowerLetter"/>
      <w:start w:val="4"/>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lowerLetter"/>
      <w:start w:val="2"/>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lvl w:ilvl="1">
      <w:lvlJc w:val="left"/>
      <w:lvlText w:val="•"/>
      <w:numFmt w:val="bullet"/>
      <w:start w:val="1"/>
    </w:lvl>
  </w:abstractNum>
  <w:abstractNum w:abstractNumId="23">
    <w:nsid w:val="2463B9EA"/>
    <w:multiLevelType w:val="hybridMultilevel"/>
    <w:lvl w:ilvl="0">
      <w:lvlJc w:val="left"/>
      <w:lvlText w:val="(%1)"/>
      <w:numFmt w:val="decimal"/>
      <w:start w:val="1"/>
    </w:lvl>
    <w:lvl w:ilvl="1">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2"/>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3"/>
    </w:lvl>
  </w:abstractNum>
  <w:abstractNum w:abstractNumId="30">
    <w:nsid w:val="70A64E2A"/>
    <w:multiLevelType w:val="hybridMultilevel"/>
    <w:lvl w:ilvl="0">
      <w:lvlJc w:val="left"/>
      <w:lvlText w:val="\endash "/>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decimal"/>
      <w:start w:val="32"/>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
    </w:lvl>
    <w:lvl w:ilvl="1">
      <w:lvlJc w:val="left"/>
      <w:lvlText w:val="(%2)"/>
      <w:numFmt w:val="decimal"/>
      <w:start w:val="4"/>
    </w:lvl>
  </w:abstractNum>
  <w:abstractNum w:abstractNumId="47">
    <w:nsid w:val="3DC240FB"/>
    <w:multiLevelType w:val="hybridMultilevel"/>
    <w:lvl w:ilvl="0">
      <w:lvlJc w:val="left"/>
      <w:lvlText w:val="1"/>
      <w:numFmt w:val="bullet"/>
      <w:start w:val="1"/>
    </w:lvl>
  </w:abstractNum>
  <w:abstractNum w:abstractNumId="48">
    <w:nsid w:val="1BA026FA"/>
    <w:multiLevelType w:val="hybridMultilevel"/>
    <w:lvl w:ilvl="0">
      <w:lvlJc w:val="left"/>
      <w:lvlText w:val="2"/>
      <w:numFmt w:val="bullet"/>
      <w:start w:val="1"/>
    </w:lvl>
  </w:abstractNum>
  <w:abstractNum w:abstractNumId="49">
    <w:nsid w:val="79A1DEAA"/>
    <w:multiLevelType w:val="hybridMultilevel"/>
    <w:lvl w:ilvl="0">
      <w:lvlJc w:val="left"/>
      <w:lvlText w:val="3"/>
      <w:numFmt w:val="bullet"/>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2019-12-29T18:58:50Z</dcterms:created>
  <dcterms:modified xsi:type="dcterms:W3CDTF">2019-12-29T18:58:50Z</dcterms:modified>
</cp:coreProperties>
</file>