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FRIBOURG PAUL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WEST 57TH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INTERNATIONAL FLAVORS &amp; FRAGRANCES INC</w:t>
              </w:r>
            </w:hyperlink>
            <w:r>
              <w:rPr/>
              <w:t xml:space="preserve"> [ </w:t>
            </w:r>
            <w:r>
              <w:rPr>
                <w:rFonts w:ascii="Times;serif" w:hAnsi="Times;serif"/>
                <w:color w:val="0000FF"/>
                <w:sz w:val="24"/>
                <w:shd w:fill="FFFFFF" w:val="clear"/>
              </w:rPr>
              <w:t>IFF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3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666"/>
        <w:gridCol w:w="906"/>
        <w:gridCol w:w="801"/>
        <w:gridCol w:w="891"/>
        <w:gridCol w:w="681"/>
        <w:gridCol w:w="801"/>
        <w:gridCol w:w="93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2,281</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05/01/2026</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2,281</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 RSUs granted under the Non-Employee Director Compensation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 2025, the reporting person was granted 2,281 RSUs, all of which vested on May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Upon the vesting of RSUs on May 1, 2026, the reporting person deferred the receipt of 2,281 shares of Common Stock and received instead 2,281 Stock Equivalent Units ("Units") pursuant to the Company's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Units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Units are payable in Common Stock upon the earlier of the reporting person ceasing to serve as a member of the Company's Board of Directors or January 1 following retirement.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Chrystalla Potamitou,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0938" TargetMode="External"/><Relationship Id="rId5" Type="http://schemas.openxmlformats.org/officeDocument/2006/relationships/hyperlink" Target="http://www.sec.gov/cgi-bin/browse-edgar?action=getcompany&amp;CIK=0000051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3796</Characters>
  <CharactersWithSpaces>4429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