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60" w:after="283"/>
        <w:jc w:val="center"/>
        <w:rPr/>
      </w:pPr>
      <w:r>
        <w:rPr>
          <w:rFonts w:ascii="Times New Roman;serif" w:hAnsi="Times New Roman;serif"/>
          <w:b/>
          <w:color w:val="000000"/>
          <w:sz w:val="32"/>
        </w:rPr>
        <w:t>FORM 8-K</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tbl>
      <w:tblPr>
        <w:tblW w:w="6434" w:type="dxa"/>
        <w:jc w:val="center"/>
        <w:tblInd w:w="0" w:type="dxa"/>
        <w:tblLayout w:type="fixed"/>
        <w:tblCellMar>
          <w:top w:w="28" w:type="dxa"/>
          <w:left w:w="28" w:type="dxa"/>
          <w:bottom w:w="28" w:type="dxa"/>
          <w:right w:w="28" w:type="dxa"/>
        </w:tblCellMar>
      </w:tblPr>
      <w:tblGrid>
        <w:gridCol w:w="1741"/>
        <w:gridCol w:w="1534"/>
        <w:gridCol w:w="1539"/>
        <w:gridCol w:w="474"/>
        <w:gridCol w:w="474"/>
        <w:gridCol w:w="672"/>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August 4, 2026</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INTERNATIONAL FLAVORS &amp; FRAGRANCES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(Exact Name of Registrant as Specified in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tbl>
      <w:tblPr>
        <w:tblW w:w="4963" w:type="dxa"/>
        <w:jc w:val="center"/>
        <w:tblInd w:w="0" w:type="dxa"/>
        <w:tblLayout w:type="fixed"/>
        <w:tblCellMar>
          <w:top w:w="28" w:type="dxa"/>
          <w:left w:w="28" w:type="dxa"/>
          <w:bottom w:w="28" w:type="dxa"/>
          <w:right w:w="28" w:type="dxa"/>
        </w:tblCellMar>
      </w:tblPr>
      <w:tblGrid>
        <w:gridCol w:w="806"/>
        <w:gridCol w:w="711"/>
        <w:gridCol w:w="718"/>
        <w:gridCol w:w="388"/>
        <w:gridCol w:w="388"/>
        <w:gridCol w:w="393"/>
        <w:gridCol w:w="456"/>
        <w:gridCol w:w="456"/>
        <w:gridCol w:w="647"/>
      </w:tblGrid>
      <w:tr>
        <w:trPr/>
        <w:tc>
          <w:tcPr>
            <w:tcW w:w="8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New York</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1-4858</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13-1432060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(Commission </w:t>
              <w:br/>
              <w:t>File Number)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No.)</w:t>
            </w:r>
          </w:p>
        </w:tc>
      </w:tr>
    </w:tbl>
    <w:tbl>
      <w:tblPr>
        <w:tblW w:w="6114" w:type="dxa"/>
        <w:jc w:val="center"/>
        <w:tblInd w:w="0" w:type="dxa"/>
        <w:tblLayout w:type="fixed"/>
        <w:tblCellMar>
          <w:top w:w="28" w:type="dxa"/>
          <w:left w:w="28" w:type="dxa"/>
          <w:bottom w:w="28" w:type="dxa"/>
          <w:right w:w="28" w:type="dxa"/>
        </w:tblCellMar>
      </w:tblPr>
      <w:tblGrid>
        <w:gridCol w:w="861"/>
        <w:gridCol w:w="760"/>
        <w:gridCol w:w="763"/>
        <w:gridCol w:w="433"/>
        <w:gridCol w:w="433"/>
        <w:gridCol w:w="438"/>
        <w:gridCol w:w="369"/>
        <w:gridCol w:w="369"/>
        <w:gridCol w:w="371"/>
        <w:gridCol w:w="109"/>
        <w:gridCol w:w="109"/>
        <w:gridCol w:w="109"/>
        <w:gridCol w:w="290"/>
        <w:gridCol w:w="290"/>
        <w:gridCol w:w="410"/>
      </w:tblGrid>
      <w:tr>
        <w:trPr/>
        <w:tc>
          <w:tcPr>
            <w:tcW w:w="86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521 West 57th Street,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New York,</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200 Powder Mill Road,</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Wilmington,</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19803</w:t>
            </w:r>
          </w:p>
        </w:tc>
      </w:tr>
      <w:tr>
        <w:trPr/>
        <w:tc>
          <w:tcPr>
            <w:tcW w:w="4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tbl>
      <w:tblPr>
        <w:tblW w:w="6897" w:type="dxa"/>
        <w:jc w:val="center"/>
        <w:tblInd w:w="0" w:type="dxa"/>
        <w:tblLayout w:type="fixed"/>
        <w:tblCellMar>
          <w:top w:w="28" w:type="dxa"/>
          <w:left w:w="28" w:type="dxa"/>
          <w:bottom w:w="28" w:type="dxa"/>
          <w:right w:w="28" w:type="dxa"/>
        </w:tblCellMar>
      </w:tblPr>
      <w:tblGrid>
        <w:gridCol w:w="1889"/>
        <w:gridCol w:w="1663"/>
        <w:gridCol w:w="1667"/>
        <w:gridCol w:w="204"/>
        <w:gridCol w:w="204"/>
        <w:gridCol w:w="206"/>
        <w:gridCol w:w="310"/>
        <w:gridCol w:w="310"/>
        <w:gridCol w:w="444"/>
      </w:tblGrid>
      <w:tr>
        <w:trPr/>
        <w:tc>
          <w:tcPr>
            <w:tcW w:w="188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(212)</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765-5500</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both"/>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120" w:after="283"/>
        <w:jc w:val="both"/>
        <w:rPr/>
      </w:pPr>
      <w:r>
        <w:rPr>
          <w:color w:val="000000"/>
        </w:rPr>
        <w:t xml:space="preserve">☐ </w:t>
      </w:r>
      <w:r>
        <w:rPr>
          <w:rFonts w:ascii="Times New Roman;serif" w:hAnsi="Times New Roman;serif"/>
          <w:b w:val="false"/>
          <w:color w:val="000000"/>
          <w:sz w:val="22"/>
        </w:rPr>
        <w:t xml:space="preserve">Soliciting material pursuant to Rule 14a-12 under the Exchange Act (17 CFR 240.14a-12) </w:t>
      </w:r>
    </w:p>
    <w:p>
      <w:pPr>
        <w:pStyle w:val="TextBody"/>
        <w:bidi w:val="0"/>
        <w:spacing w:lineRule="auto" w:line="288" w:before="120" w:after="283"/>
        <w:jc w:val="both"/>
        <w:rPr/>
      </w:pPr>
      <w:r>
        <w:rPr>
          <w:color w:val="000000"/>
        </w:rPr>
        <w:t xml:space="preserve">☐ </w:t>
      </w:r>
      <w:r>
        <w:rPr>
          <w:rFonts w:ascii="Times New Roman;serif" w:hAnsi="Times New Roman;serif"/>
          <w:b w:val="false"/>
          <w:color w:val="000000"/>
          <w:sz w:val="22"/>
        </w:rPr>
        <w:t xml:space="preserve">Pre-commencement communications pursuant to Rule 14d-2(b) under the Exchange Act (17 CFR 240.14d-2(b)) </w:t>
      </w:r>
    </w:p>
    <w:p>
      <w:pPr>
        <w:pStyle w:val="TextBody"/>
        <w:bidi w:val="0"/>
        <w:spacing w:lineRule="auto" w:line="288" w:before="120" w:after="283"/>
        <w:jc w:val="both"/>
        <w:rPr/>
      </w:pPr>
      <w:r>
        <w:rPr>
          <w:color w:val="000000"/>
        </w:rPr>
        <w:t>☐</w:t>
      </w:r>
      <w:r>
        <w:rPr>
          <w:color w:val="231F20"/>
        </w:rPr>
        <w:t xml:space="preserve"> </w:t>
      </w:r>
      <w:r>
        <w:rPr>
          <w:rFonts w:ascii="Times New Roman;serif" w:hAnsi="Times New Roman;serif"/>
          <w:b w:val="false"/>
          <w:color w:val="000000"/>
          <w:sz w:val="22"/>
        </w:rPr>
        <w:t xml:space="preserve">Pre-commencement communications pursuant to Rule 13e-4(c) under the Exchange Act (17 CFR 240.13e-4(c))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818" w:type="dxa"/>
        <w:jc w:val="center"/>
        <w:tblInd w:w="0" w:type="dxa"/>
        <w:tblLayout w:type="fixed"/>
        <w:tblCellMar>
          <w:top w:w="28" w:type="dxa"/>
          <w:left w:w="28" w:type="dxa"/>
          <w:bottom w:w="28" w:type="dxa"/>
          <w:right w:w="28" w:type="dxa"/>
        </w:tblCellMar>
      </w:tblPr>
      <w:tblGrid>
        <w:gridCol w:w="1544"/>
        <w:gridCol w:w="1350"/>
        <w:gridCol w:w="1366"/>
        <w:gridCol w:w="619"/>
        <w:gridCol w:w="619"/>
        <w:gridCol w:w="621"/>
        <w:gridCol w:w="790"/>
        <w:gridCol w:w="790"/>
        <w:gridCol w:w="1119"/>
      </w:tblGrid>
      <w:tr>
        <w:trPr/>
        <w:tc>
          <w:tcPr>
            <w:tcW w:w="15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269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22"/>
              </w:rPr>
            </w:pPr>
            <w:r>
              <w:rPr>
                <w:rFonts w:ascii="Times New Roman;serif" w:hAnsi="Times New Roman;serif"/>
                <w:b w:val="false"/>
                <w:color w:val="000000"/>
                <w:sz w:val="22"/>
              </w:rPr>
              <w:t>Name of each exchange</w:t>
            </w:r>
          </w:p>
          <w:p>
            <w:pPr>
              <w:pStyle w:val="TableContents"/>
              <w:bidi w:val="0"/>
              <w:spacing w:lineRule="auto" w:line="240" w:before="0" w:after="44"/>
              <w:jc w:val="center"/>
              <w:rPr>
                <w:rFonts w:ascii="Times New Roman;serif" w:hAnsi="Times New Roman;serif"/>
                <w:b w:val="false"/>
                <w:color w:val="000000"/>
                <w:sz w:val="22"/>
              </w:rPr>
            </w:pPr>
            <w:r>
              <w:rPr>
                <w:rFonts w:ascii="Times New Roman;serif" w:hAnsi="Times New Roman;serif"/>
                <w:b w:val="false"/>
                <w:color w:val="000000"/>
                <w:sz w:val="22"/>
              </w:rPr>
              <w:t>on which registered</w:t>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par value 12 1/2¢ per share</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IFF</w:t>
            </w:r>
          </w:p>
        </w:tc>
        <w:tc>
          <w:tcPr>
            <w:tcW w:w="269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r>
        <w:trPr/>
        <w:tc>
          <w:tcPr>
            <w:tcW w:w="42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1.800% Senior Notes due 2026</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IFF 26</w:t>
            </w:r>
          </w:p>
        </w:tc>
        <w:tc>
          <w:tcPr>
            <w:tcW w:w="269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80" w:after="283"/>
        <w:jc w:val="both"/>
        <w:rPr/>
      </w:pPr>
      <w:r>
        <w:rPr>
          <w:color w:val="000000"/>
        </w:rPr>
        <w:t>    </w:t>
      </w: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2"/>
        </w:rPr>
        <w:t>Emerging growth company</w:t>
      </w:r>
      <w:r>
        <w:rPr>
          <w:color w:val="231F20"/>
        </w:rPr>
        <w:t xml:space="preserve"> </w:t>
      </w:r>
      <w:r>
        <w:rPr>
          <w:color w:val="000000"/>
        </w:rPr>
        <w:t>☐</w:t>
      </w:r>
    </w:p>
    <w:p>
      <w:pPr>
        <w:pStyle w:val="TextBody"/>
        <w:bidi w:val="0"/>
        <w:spacing w:lineRule="auto" w:line="288" w:before="18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 xml:space="preserve">Item 2.02 Results of Operations and Financial Condition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Attached and being furnished hereby as Exhibit 99.1 is a copy of a press release of International Flavors &amp; Fragrances Inc. (“IFF” or the “Company”), dated August 4, 2026, reporting IFF’s financial results for the quarter ended June 30, 2026.</w:t>
      </w:r>
    </w:p>
    <w:p>
      <w:pPr>
        <w:pStyle w:val="TextBody"/>
        <w:bidi w:val="0"/>
        <w:spacing w:lineRule="auto" w:line="288" w:before="120" w:after="283"/>
        <w:jc w:val="both"/>
        <w:rPr/>
      </w:pPr>
      <w:r>
        <w:rPr>
          <w:rFonts w:ascii="Times New Roman;serif" w:hAnsi="Times New Roman;serif"/>
          <w:b w:val="false"/>
          <w:color w:val="000000"/>
          <w:sz w:val="22"/>
        </w:rPr>
        <w:t xml:space="preserve">A live webcast to discuss the Company’s second quarter 2026 financial results will be held on August 5, 2026, at 9:00 a.m. ET. The webcast and accompanying slide presentation may be accessed on the Company’s IR website at </w:t>
      </w:r>
      <w:r>
        <w:rPr>
          <w:rFonts w:ascii="Times New Roman;serif" w:hAnsi="Times New Roman;serif"/>
          <w:b w:val="false"/>
          <w:color w:val="000000"/>
          <w:sz w:val="22"/>
          <w:u w:val="single"/>
        </w:rPr>
        <w:t>ir.iff.com</w:t>
      </w:r>
      <w:r>
        <w:rPr>
          <w:rFonts w:ascii="Times New Roman;serif" w:hAnsi="Times New Roman;serif"/>
          <w:b w:val="false"/>
          <w:color w:val="000000"/>
          <w:sz w:val="22"/>
        </w:rPr>
        <w:t>. For those unable to listen to the live webcast, a recorded version will be made available on the Company’s website approximately one hour after the event and will remain available on IFF’s website for one year.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Exhibit 99.1 is being furnished under Item 2.02 and shall not be deemed “filed” for purposes of Section 18 of the Securities Exchange Act of 1934, as amended (the “Exchange Act”), or otherwise subject to the liability of such section, nor shall such exhibit be deemed incorporated by reference in any filing under the Securities Act of 1993, as amended, or the Exchange Act.</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On May 29, 2026, IFF entered into a Purchase Agreement to sell its Food Ingredients business to funds advised by CVC Capital Partners (“the Purchaser”), pursuant to which the Purchaser will purchase substantially all of the assets and assume and acquire certain of the rights and liabilities of IFF or its applicable affiliates that relate to or are used in connection with IFF’s Food Ingredients business (the “Food Ingredients disposal group”). As part of the transaction, IFF has chosen to retain an approximately 10% minority equity interest in the business, permitting continued collaboration and cooperation between IFF and Food Ingredients and allowing IFF and its shareholders to participate in future value creation under its new ownership.</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Food Ingredients disposal group consists of a diversified portfolio across texturants, emulsifiers, plant-based solutions, and other specialty ingredients serving multinational food and beverage customers. The sale of the Food Ingredients disposal group is expected to close by the end of the second quarter of 2027, subject to applicable information and/or consultation requirements and customary closing conditions, including regulatory approvals, where required.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has concluded that the Food Ingredients disposal group met the criteria to be classified as held for sale and that the sale represents a strategic shift that will have a major effect on IFF’s operations and results. Accordingly, for all periods presented, the results of operations of the Food Ingredients disposal group are presented as discontinued operations under U.S. generally accepted accounting principles within Exhibit 99.1 of this Form 8-K.</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490" w:type="dxa"/>
        <w:jc w:val="center"/>
        <w:tblInd w:w="0" w:type="dxa"/>
        <w:tblLayout w:type="fixed"/>
        <w:tblCellMar>
          <w:top w:w="28" w:type="dxa"/>
          <w:left w:w="28" w:type="dxa"/>
          <w:bottom w:w="28" w:type="dxa"/>
          <w:right w:w="28" w:type="dxa"/>
        </w:tblCellMar>
      </w:tblPr>
      <w:tblGrid>
        <w:gridCol w:w="321"/>
        <w:gridCol w:w="282"/>
        <w:gridCol w:w="283"/>
        <w:gridCol w:w="2220"/>
        <w:gridCol w:w="2220"/>
        <w:gridCol w:w="316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991pressreleaseofiff.htm">
              <w:r>
                <w:rPr>
                  <w:rStyle w:val="InternetLink"/>
                  <w:rFonts w:ascii="Times New Roman;serif" w:hAnsi="Times New Roman;serif"/>
                  <w:b w:val="false"/>
                  <w:color w:val="0000FF"/>
                  <w:sz w:val="22"/>
                  <w:u w:val="single"/>
                </w:rPr>
                <w:t>Press Release dated August 4, 2026 of International Flavors &amp; Fragrances Inc.</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225" w:after="283"/>
        <w:jc w:val="left"/>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225" w:after="283"/>
        <w:jc w:val="left"/>
        <w:rPr/>
      </w:pPr>
      <w:r>
        <w:rPr/>
      </w:r>
    </w:p>
    <w:tbl>
      <w:tblPr>
        <w:tblW w:w="7321" w:type="dxa"/>
        <w:jc w:val="right"/>
        <w:tblInd w:w="0" w:type="dxa"/>
        <w:tblLayout w:type="fixed"/>
        <w:tblCellMar>
          <w:top w:w="28" w:type="dxa"/>
          <w:left w:w="28" w:type="dxa"/>
          <w:bottom w:w="28" w:type="dxa"/>
          <w:right w:w="28" w:type="dxa"/>
        </w:tblCellMar>
      </w:tblPr>
      <w:tblGrid>
        <w:gridCol w:w="931"/>
        <w:gridCol w:w="818"/>
        <w:gridCol w:w="818"/>
        <w:gridCol w:w="1387"/>
        <w:gridCol w:w="1387"/>
        <w:gridCol w:w="1980"/>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73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INTERNATIONAL FLAVORS &amp; FRAGRANCES INC.</w:t>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DeVeau</w:t>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4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r>
    </w:tbl>
    <w:p>
      <w:pPr>
        <w:pStyle w:val="TextBody"/>
        <w:bidi w:val="0"/>
        <w:spacing w:before="0" w:after="0"/>
        <w:ind w:left="0" w:right="0" w:firstLine="4185"/>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IMMEDIATE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Media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Jennifer McGowan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848.358.1680</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Media.request@iff.com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Michael Bender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212.708.7263</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Investor.Relations@iff.com</w:t>
      </w:r>
    </w:p>
    <w:p>
      <w:pPr>
        <w:pStyle w:val="TextBody"/>
        <w:bidi w:val="0"/>
        <w:spacing w:lineRule="auto" w:line="288" w:before="0" w:after="0"/>
        <w:jc w:val="left"/>
        <w:rPr/>
      </w:pPr>
      <w:r>
        <w:rPr/>
        <w:drawing>
          <wp:inline distT="0" distB="0" distL="0" distR="0">
            <wp:extent cx="106680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66800" cy="762000"/>
                    </a:xfrm>
                    <a:prstGeom prst="rect">
                      <a:avLst/>
                    </a:prstGeom>
                  </pic:spPr>
                </pic:pic>
              </a:graphicData>
            </a:graphic>
          </wp:inline>
        </w:drawing>
      </w:r>
      <w:r>
        <w:rPr>
          <w:color w:val="000000"/>
        </w:rPr>
        <w:t xml:space="preserve">     </w:t>
      </w:r>
      <w:r>
        <w:rPr/>
        <w:drawing>
          <wp:inline distT="0" distB="0" distL="0" distR="0">
            <wp:extent cx="2171700" cy="161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71700" cy="1619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IFF Reports Second Quarter 2026 Results; Announces Use of Proceeds Plan for Food Ingredients Divestiture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 xml:space="preserve">Delivered Strong Sales, Profit and Cash Flow Performance in Second Quarter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Provides Full Year 2026 Financial Guidance on a Continuing Operations Basis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Announces Enhanced $2.5B Share Repurchase Authorization; Including $500M Accelerated Share Repurchase in the second half of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 xml:space="preserve">NEW YORK - August 4, 2026 </w:t>
      </w:r>
      <w:r>
        <w:rPr>
          <w:rFonts w:ascii="Arial;sans-serif" w:hAnsi="Arial;sans-serif"/>
          <w:b w:val="false"/>
          <w:color w:val="000000"/>
          <w:sz w:val="18"/>
        </w:rPr>
        <w:t>- IFF (NYSE: IFF) reported financial results for the second quarter ended June 30, 2026. Results are presented on a continuing operations basis, excluding the Food Ingredients business and other minor perimeter adjustments (the “Food Ingredients disposal group”), and the Soy Crush, Concentrates, and Lecithin businesses (the “SCL disposal group”). The Food Ingredients disposal group and the SCL disposal group are reported as discontinued operations.</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color w:val="000000"/>
          <w:sz w:val="18"/>
        </w:rPr>
        <w:t>Second Quarter 2026 Consolidated Summary of Results, on a continuing operations basis</w:t>
      </w:r>
      <w:r>
        <w:rPr>
          <w:rFonts w:ascii="Arial;sans-serif" w:hAnsi="Arial;sans-serif"/>
          <w:b/>
          <w:color w:val="000000"/>
          <w:sz w:val="12"/>
        </w:rPr>
        <w:t>1</w:t>
      </w:r>
      <w:r>
        <w:rPr>
          <w:rFonts w:ascii="Arial;sans-serif" w:hAnsi="Arial;sans-serif"/>
          <w:b/>
          <w:color w:val="000000"/>
          <w:sz w:val="18"/>
        </w:rPr>
        <w:t>:</w:t>
      </w:r>
    </w:p>
    <w:tbl>
      <w:tblPr>
        <w:tblW w:w="10205" w:type="dxa"/>
        <w:jc w:val="center"/>
        <w:tblInd w:w="0" w:type="dxa"/>
        <w:tblLayout w:type="fixed"/>
        <w:tblCellMar>
          <w:top w:w="28" w:type="dxa"/>
          <w:left w:w="28" w:type="dxa"/>
          <w:bottom w:w="28" w:type="dxa"/>
          <w:right w:w="28" w:type="dxa"/>
        </w:tblCellMar>
      </w:tblPr>
      <w:tblGrid>
        <w:gridCol w:w="231"/>
        <w:gridCol w:w="203"/>
        <w:gridCol w:w="205"/>
        <w:gridCol w:w="109"/>
        <w:gridCol w:w="109"/>
        <w:gridCol w:w="109"/>
        <w:gridCol w:w="599"/>
        <w:gridCol w:w="599"/>
        <w:gridCol w:w="602"/>
        <w:gridCol w:w="109"/>
        <w:gridCol w:w="109"/>
        <w:gridCol w:w="109"/>
        <w:gridCol w:w="189"/>
        <w:gridCol w:w="189"/>
        <w:gridCol w:w="193"/>
        <w:gridCol w:w="109"/>
        <w:gridCol w:w="109"/>
        <w:gridCol w:w="109"/>
        <w:gridCol w:w="527"/>
        <w:gridCol w:w="527"/>
        <w:gridCol w:w="529"/>
        <w:gridCol w:w="109"/>
        <w:gridCol w:w="109"/>
        <w:gridCol w:w="109"/>
        <w:gridCol w:w="713"/>
        <w:gridCol w:w="713"/>
        <w:gridCol w:w="715"/>
        <w:gridCol w:w="109"/>
        <w:gridCol w:w="109"/>
        <w:gridCol w:w="109"/>
        <w:gridCol w:w="536"/>
        <w:gridCol w:w="536"/>
        <w:gridCol w:w="764"/>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3664"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Reported </w:t>
              <w:br/>
              <w:t>(GAAP)</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14"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Adjusted </w:t>
              <w:br/>
              <w:t>(Non-GAAP)</w:t>
            </w:r>
            <w:r>
              <w:rPr>
                <w:rFonts w:ascii="Arial;sans-serif" w:hAnsi="Arial;sans-serif"/>
                <w:b/>
                <w:color w:val="000000"/>
                <w:sz w:val="12"/>
              </w:rPr>
              <w:t>2</w:t>
            </w:r>
          </w:p>
        </w:tc>
      </w:tr>
      <w:tr>
        <w:trPr/>
        <w:tc>
          <w:tcPr>
            <w:tcW w:w="6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ex Amortization</w:t>
            </w:r>
          </w:p>
        </w:tc>
      </w:tr>
      <w:tr>
        <w:trPr/>
        <w:tc>
          <w:tcPr>
            <w:tcW w:w="63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 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 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$408 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$0.82</w:t>
            </w:r>
          </w:p>
        </w:tc>
      </w:tr>
    </w:tbl>
    <w:p>
      <w:pPr>
        <w:pStyle w:val="TextBody"/>
        <w:bidi w:val="0"/>
        <w:spacing w:before="0" w:after="0"/>
        <w:jc w:val="center"/>
        <w:rPr/>
      </w:pPr>
      <w:r>
        <w:rPr/>
      </w:r>
    </w:p>
    <w:p>
      <w:pPr>
        <w:pStyle w:val="TextBody"/>
        <w:bidi w:val="0"/>
        <w:spacing w:lineRule="auto" w:line="288" w:before="100" w:after="60"/>
        <w:jc w:val="left"/>
        <w:rPr/>
      </w:pPr>
      <w:r>
        <w:rPr>
          <w:rFonts w:ascii="Arial;sans-serif" w:hAnsi="Arial;sans-serif"/>
          <w:b/>
          <w:color w:val="000000"/>
          <w:sz w:val="18"/>
        </w:rPr>
        <w:t>First Six Months</w:t>
      </w:r>
      <w:r>
        <w:rPr>
          <w:color w:val="000000"/>
        </w:rPr>
        <w:t xml:space="preserve"> </w:t>
      </w:r>
      <w:r>
        <w:rPr>
          <w:rFonts w:ascii="Arial;sans-serif" w:hAnsi="Arial;sans-serif"/>
          <w:b/>
          <w:color w:val="000000"/>
          <w:sz w:val="18"/>
        </w:rPr>
        <w:t>2026 Consolidated Summary of Results, on a continuing operations basis</w:t>
      </w:r>
      <w:r>
        <w:rPr>
          <w:rFonts w:ascii="Arial;sans-serif" w:hAnsi="Arial;sans-serif"/>
          <w:b/>
          <w:color w:val="000000"/>
          <w:sz w:val="12"/>
        </w:rPr>
        <w:t>1</w:t>
      </w:r>
      <w:r>
        <w:rPr>
          <w:rFonts w:ascii="Arial;sans-serif" w:hAnsi="Arial;sans-serif"/>
          <w:b/>
          <w:color w:val="000000"/>
          <w:sz w:val="18"/>
        </w:rPr>
        <w:t>:</w:t>
      </w:r>
    </w:p>
    <w:tbl>
      <w:tblPr>
        <w:tblW w:w="10205" w:type="dxa"/>
        <w:jc w:val="left"/>
        <w:tblInd w:w="0" w:type="dxa"/>
        <w:tblLayout w:type="fixed"/>
        <w:tblCellMar>
          <w:top w:w="28" w:type="dxa"/>
          <w:left w:w="28" w:type="dxa"/>
          <w:bottom w:w="28" w:type="dxa"/>
          <w:right w:w="28" w:type="dxa"/>
        </w:tblCellMar>
      </w:tblPr>
      <w:tblGrid>
        <w:gridCol w:w="231"/>
        <w:gridCol w:w="203"/>
        <w:gridCol w:w="205"/>
        <w:gridCol w:w="109"/>
        <w:gridCol w:w="109"/>
        <w:gridCol w:w="109"/>
        <w:gridCol w:w="599"/>
        <w:gridCol w:w="599"/>
        <w:gridCol w:w="602"/>
        <w:gridCol w:w="109"/>
        <w:gridCol w:w="109"/>
        <w:gridCol w:w="109"/>
        <w:gridCol w:w="189"/>
        <w:gridCol w:w="189"/>
        <w:gridCol w:w="193"/>
        <w:gridCol w:w="109"/>
        <w:gridCol w:w="109"/>
        <w:gridCol w:w="109"/>
        <w:gridCol w:w="527"/>
        <w:gridCol w:w="527"/>
        <w:gridCol w:w="529"/>
        <w:gridCol w:w="109"/>
        <w:gridCol w:w="109"/>
        <w:gridCol w:w="109"/>
        <w:gridCol w:w="713"/>
        <w:gridCol w:w="713"/>
        <w:gridCol w:w="715"/>
        <w:gridCol w:w="109"/>
        <w:gridCol w:w="109"/>
        <w:gridCol w:w="109"/>
        <w:gridCol w:w="536"/>
        <w:gridCol w:w="536"/>
        <w:gridCol w:w="764"/>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3664"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Reported </w:t>
              <w:br/>
              <w:t>(GAAP)</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6214" w:type="dxa"/>
            <w:gridSpan w:val="15"/>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Adjusted </w:t>
            </w:r>
          </w:p>
          <w:p>
            <w:pPr>
              <w:pStyle w:val="TableContents"/>
              <w:bidi w:val="0"/>
              <w:spacing w:lineRule="auto" w:line="240" w:before="0" w:after="0"/>
              <w:jc w:val="center"/>
              <w:rPr/>
            </w:pPr>
            <w:r>
              <w:rPr>
                <w:rFonts w:ascii="Arial;sans-serif" w:hAnsi="Arial;sans-serif"/>
                <w:b/>
                <w:color w:val="000000"/>
                <w:sz w:val="18"/>
              </w:rPr>
              <w:t>(Non-GAAP)</w:t>
            </w:r>
            <w:r>
              <w:rPr>
                <w:rFonts w:ascii="Arial;sans-serif" w:hAnsi="Arial;sans-serif"/>
                <w:b/>
                <w:color w:val="000000"/>
                <w:sz w:val="12"/>
              </w:rPr>
              <w:t>2</w:t>
            </w:r>
          </w:p>
        </w:tc>
      </w:tr>
      <w:tr>
        <w:trPr/>
        <w:tc>
          <w:tcPr>
            <w:tcW w:w="6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ex Amortization</w:t>
            </w:r>
          </w:p>
        </w:tc>
      </w:tr>
      <w:tr>
        <w:trPr/>
        <w:tc>
          <w:tcPr>
            <w:tcW w:w="63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 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$260 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$841 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$1.74</w:t>
            </w:r>
          </w:p>
        </w:tc>
      </w:tr>
    </w:tbl>
    <w:p>
      <w:pPr>
        <w:pStyle w:val="TextBody"/>
        <w:bidi w:val="0"/>
        <w:spacing w:before="0" w:after="0"/>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Management Commentary</w:t>
      </w:r>
    </w:p>
    <w:p>
      <w:pPr>
        <w:pStyle w:val="TextBody"/>
        <w:bidi w:val="0"/>
        <w:spacing w:lineRule="auto" w:line="276" w:before="0" w:after="0"/>
        <w:jc w:val="both"/>
        <w:rPr>
          <w:color w:val="000000"/>
        </w:rPr>
      </w:pPr>
      <w:r>
        <w:rPr>
          <w:color w:val="000000"/>
        </w:rPr>
        <w:t>“</w:t>
      </w:r>
      <w:r>
        <w:rPr>
          <w:rFonts w:ascii="Arial;sans-serif" w:hAnsi="Arial;sans-serif"/>
          <w:b w:val="false"/>
          <w:color w:val="000000"/>
          <w:sz w:val="18"/>
        </w:rPr>
        <w:t>IFF delivered a strong first half of 2026 on a continuing operations basis,” said Erik Fyrwald, CEO of IFF. “Performance was driven by volume growth, disciplined margin execution and robust free cash flow generation. These results reflect the strength of our commercial and innovation pipelines and the actions underway to improve efficiency and cash flow across the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i/>
          <w:color w:val="000000"/>
          <w:sz w:val="18"/>
        </w:rPr>
        <w:t>Unless otherwise noted, results are presented on a continuing operations basis, now reflecting the Food Ingredients disposal group and the SCL disposal group as discontinued operations. See pages 5-6 for further information, including the basis of presentation included in this release.</w:t>
      </w:r>
    </w:p>
    <w:p>
      <w:pPr>
        <w:pStyle w:val="TextBody"/>
        <w:bidi w:val="0"/>
        <w:spacing w:lineRule="auto" w:line="288"/>
        <w:jc w:val="both"/>
        <w:rPr/>
      </w:pPr>
      <w:r>
        <w:rPr>
          <w:rFonts w:ascii="Arial;sans-serif" w:hAnsi="Arial;sans-serif"/>
          <w:b w:val="false"/>
          <w:color w:val="000000"/>
          <w:sz w:val="12"/>
        </w:rPr>
        <w:t>2</w:t>
      </w:r>
      <w:r>
        <w:rPr>
          <w:color w:val="000000"/>
        </w:rPr>
        <w:t xml:space="preserve"> </w:t>
      </w:r>
      <w:r>
        <w:rPr>
          <w:rFonts w:ascii="Arial;sans-serif" w:hAnsi="Arial;sans-serif"/>
          <w:b w:val="false"/>
          <w:i/>
          <w:color w:val="000000"/>
          <w:sz w:val="18"/>
        </w:rPr>
        <w:t>Schedules at the end of this release contain reconciliations of reported GAAP to Non-GAAP metrics. See Use of Non-GAAP Financial Measures for explanations of our Non-GAAP metrics.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This quarter marked a defining step in our portfolio transformation with the announced agreement to divest Food Ingredients. The transaction sharpens IFF's focus on Taste, Scent, and Health &amp; Biosciences, creating a simpler, higher-growth, higher-margin company with enhanced cash generation. As part of this transformation, we are taking decisive action to eliminate related stranded costs and will execute with urgency.”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We are also providing greater clarity on our intended use of proceeds from the divestiture of the Food Ingredients business through a sequenced capital allocation framework. Our objective is to maintain a strong balance sheet and financial flexibility to deliver our growth ambitions with leverage in the range of 2.0x to 2.5x net debt to EBITDA. Therefore we will apply net proceeds to reduce outstanding debt by over $1 billion. The Board has also authorized an enhanced $2.5 billion share repurchase program, beginning with $500 million to be executed in the second half of 2026, reflecting our confidence in IFF’s long-term value creation opportunity and the compelling return profile of repurchases at current valuation levels. We expect to execute the remaining $2.0 billion of the authorization following the anticipated transaction close, with completion of this repurchase program targeted by the end of 2027.”</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With Food Ingredients now reported as discontinued operations, we are introducing full-year 2026 guidance on a continuing operations basis. The underlying performance in the three business units is consistent with previous guidance given. The new presentation provides greater visibility into the growth and margin profile of our go-forward portfolio, reinforcing the outlook for IFF’s continuing operations and our ability to create long-term shareholder value.”</w:t>
      </w:r>
    </w:p>
    <w:p>
      <w:pPr>
        <w:pStyle w:val="TextBody"/>
        <w:bidi w:val="0"/>
        <w:spacing w:before="0" w:after="0"/>
        <w:jc w:val="both"/>
        <w:rPr/>
      </w:pPr>
      <w:r>
        <w:rPr/>
      </w:r>
    </w:p>
    <w:p>
      <w:pPr>
        <w:pStyle w:val="TextBody"/>
        <w:bidi w:val="0"/>
        <w:spacing w:lineRule="auto" w:line="276" w:before="0" w:after="0"/>
        <w:jc w:val="left"/>
        <w:rPr/>
      </w:pPr>
      <w:r>
        <w:rPr>
          <w:rFonts w:ascii="Arial;sans-serif" w:hAnsi="Arial;sans-serif"/>
          <w:b/>
          <w:color w:val="000000"/>
          <w:sz w:val="18"/>
        </w:rPr>
        <w:t>Second Quarter 2026 Consolidated Financial Results</w:t>
      </w:r>
      <w:r>
        <w:rPr>
          <w:rFonts w:ascii="Arial;sans-serif" w:hAnsi="Arial;sans-serif"/>
          <w:b/>
          <w:color w:val="000000"/>
          <w:sz w:val="12"/>
        </w:rPr>
        <w:t>1</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Reported net sales for the second quarter were $1.95 billion, an increase of 2% versus the prior-year period. On a comparable basis</w:t>
      </w:r>
      <w:r>
        <w:rPr>
          <w:rFonts w:ascii="Arial;sans-serif" w:hAnsi="Arial;sans-serif"/>
          <w:b w:val="false"/>
          <w:color w:val="000000"/>
          <w:sz w:val="12"/>
        </w:rPr>
        <w:t>3</w:t>
      </w:r>
      <w:r>
        <w:rPr>
          <w:rFonts w:ascii="Arial;sans-serif" w:hAnsi="Arial;sans-serif"/>
          <w:b w:val="false"/>
          <w:color w:val="000000"/>
          <w:sz w:val="18"/>
        </w:rPr>
        <w:t>, currency neutral sales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increased 6% versus the prior-year period led by broad-based growth including high-single digit performance in Scent and mid-single digit growth in Taste and Health &amp; Biosciences. Inclusive of discontinued operations net sales of $827 million, net sales for the second quarter were $2.78 billion.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Income from continuing operations before taxes on a reported basis for the second quarter was $64 million.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for the second quarter was $408 million. On a comparable basis</w:t>
      </w:r>
      <w:r>
        <w:rPr>
          <w:rFonts w:ascii="Arial;sans-serif" w:hAnsi="Arial;sans-serif"/>
          <w:b w:val="false"/>
          <w:color w:val="000000"/>
          <w:sz w:val="12"/>
        </w:rPr>
        <w:t>3</w:t>
      </w:r>
      <w:r>
        <w:rPr>
          <w:rFonts w:ascii="Arial;sans-serif" w:hAnsi="Arial;sans-serif"/>
          <w:b w:val="false"/>
          <w:color w:val="000000"/>
          <w:sz w:val="18"/>
        </w:rPr>
        <w:t>, currency neutral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improved 6% versus the prior-year period, driven primarily by volume growth and productivity gains. Inclusive of discontinued operations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$140 million, adjusted operating EBITDA</w:t>
      </w:r>
      <w:r>
        <w:rPr>
          <w:rFonts w:ascii="Arial;sans-serif" w:hAnsi="Arial;sans-serif"/>
          <w:b w:val="false"/>
          <w:color w:val="000000"/>
          <w:sz w:val="12"/>
        </w:rPr>
        <w:t xml:space="preserve">2 </w:t>
      </w:r>
      <w:r>
        <w:rPr>
          <w:rFonts w:ascii="Arial;sans-serif" w:hAnsi="Arial;sans-serif"/>
          <w:b w:val="false"/>
          <w:color w:val="000000"/>
          <w:sz w:val="18"/>
        </w:rPr>
        <w:t>for the second quarter was $548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Reported earnings per share (EPS) for the second quarter was $0.13 per diluted share. Adjusted EPS excluding amortization</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$0.82 per diluted share.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Cash flows from operations for the first six months of the year for continuing and discontinued operations was $679 million, increasing $311 million year-over-year, and free cash flow</w:t>
      </w:r>
      <w:r>
        <w:rPr>
          <w:rFonts w:ascii="Arial;sans-serif" w:hAnsi="Arial;sans-serif"/>
          <w:b w:val="false"/>
          <w:color w:val="000000"/>
          <w:sz w:val="12"/>
        </w:rPr>
        <w:t>2</w:t>
      </w:r>
      <w:r>
        <w:rPr>
          <w:rFonts w:ascii="Arial;sans-serif" w:hAnsi="Arial;sans-serif"/>
          <w:b w:val="false"/>
          <w:color w:val="000000"/>
          <w:sz w:val="18"/>
        </w:rPr>
        <w:t>, defined as cash flows from operations less capital expenditures, totaled $378 million, increasing $284 million year-over-year. Total debt to trailing twelve months net income at the end of the second quarter was 22.6x. Net debt to credit adjusted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at the end of the second quarter was 2.5x, and includes the effects of both continuing and discontinued operations. </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Second Quarter 2026 Segment Summary</w:t>
      </w:r>
      <w:r>
        <w:rPr>
          <w:rFonts w:ascii="Arial;sans-serif" w:hAnsi="Arial;sans-serif"/>
          <w:b/>
          <w:color w:val="000000"/>
          <w:sz w:val="12"/>
        </w:rPr>
        <w:t>1</w:t>
      </w:r>
      <w:r>
        <w:rPr>
          <w:rFonts w:ascii="Arial;sans-serif" w:hAnsi="Arial;sans-serif"/>
          <w:b/>
          <w:color w:val="000000"/>
          <w:sz w:val="18"/>
        </w:rPr>
        <w:t>: Growth vs. Prior Year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4"/>
        <w:gridCol w:w="569"/>
        <w:gridCol w:w="578"/>
        <w:gridCol w:w="311"/>
        <w:gridCol w:w="311"/>
        <w:gridCol w:w="313"/>
        <w:gridCol w:w="109"/>
        <w:gridCol w:w="109"/>
        <w:gridCol w:w="109"/>
        <w:gridCol w:w="809"/>
        <w:gridCol w:w="809"/>
        <w:gridCol w:w="810"/>
        <w:gridCol w:w="109"/>
        <w:gridCol w:w="109"/>
        <w:gridCol w:w="109"/>
        <w:gridCol w:w="525"/>
        <w:gridCol w:w="525"/>
        <w:gridCol w:w="528"/>
        <w:gridCol w:w="109"/>
        <w:gridCol w:w="109"/>
        <w:gridCol w:w="109"/>
        <w:gridCol w:w="723"/>
        <w:gridCol w:w="723"/>
        <w:gridCol w:w="1036"/>
      </w:tblGrid>
      <w:tr>
        <w:trPr/>
        <w:tc>
          <w:tcPr>
            <w:tcW w:w="65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Reported </w:t>
              <w:br/>
              <w:t>(GAAP)</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Comparable Currency Neutral</w:t>
            </w:r>
          </w:p>
          <w:p>
            <w:pPr>
              <w:pStyle w:val="TableContents"/>
              <w:bidi w:val="0"/>
              <w:spacing w:lineRule="auto" w:line="240" w:before="0" w:after="0"/>
              <w:jc w:val="center"/>
              <w:rPr/>
            </w:pPr>
            <w:r>
              <w:rPr>
                <w:rFonts w:ascii="Arial;sans-serif" w:hAnsi="Arial;sans-serif"/>
                <w:b/>
                <w:color w:val="000000"/>
                <w:sz w:val="18"/>
              </w:rPr>
              <w:t>(Non-GAAP)</w:t>
            </w:r>
            <w:r>
              <w:rPr>
                <w:rFonts w:ascii="Arial;sans-serif" w:hAnsi="Arial;sans-serif"/>
                <w:b/>
                <w:color w:val="000000"/>
                <w:sz w:val="12"/>
              </w:rPr>
              <w:t>2 3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Adjusted</w:t>
            </w:r>
          </w:p>
          <w:p>
            <w:pPr>
              <w:pStyle w:val="TableContents"/>
              <w:bidi w:val="0"/>
              <w:spacing w:lineRule="auto" w:line="240" w:before="0" w:after="0"/>
              <w:jc w:val="center"/>
              <w:rPr/>
            </w:pPr>
            <w:r>
              <w:rPr>
                <w:rFonts w:ascii="Arial;sans-serif" w:hAnsi="Arial;sans-serif"/>
                <w:b/>
                <w:color w:val="000000"/>
                <w:sz w:val="18"/>
              </w:rPr>
              <w:t>(Non-GAAP)</w:t>
            </w:r>
            <w:r>
              <w:rPr>
                <w:rFonts w:ascii="Arial;sans-serif" w:hAnsi="Arial;sans-serif"/>
                <w:b/>
                <w:color w:val="000000"/>
                <w:sz w:val="12"/>
              </w:rPr>
              <w:t>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Comparable Currency Neutral</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Adjusted</w:t>
            </w:r>
          </w:p>
          <w:p>
            <w:pPr>
              <w:pStyle w:val="TableContents"/>
              <w:bidi w:val="0"/>
              <w:spacing w:lineRule="auto" w:line="240" w:before="0" w:after="0"/>
              <w:jc w:val="center"/>
              <w:rPr/>
            </w:pPr>
            <w:r>
              <w:rPr>
                <w:rFonts w:ascii="Arial;sans-serif" w:hAnsi="Arial;sans-serif"/>
                <w:b/>
                <w:color w:val="000000"/>
                <w:sz w:val="18"/>
              </w:rPr>
              <w:t>(Non-GAAP)</w:t>
            </w:r>
            <w:r>
              <w:rPr>
                <w:rFonts w:ascii="Arial;sans-serif" w:hAnsi="Arial;sans-serif"/>
                <w:b/>
                <w:color w:val="000000"/>
                <w:sz w:val="12"/>
              </w:rPr>
              <w:t>2 3</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EBITDA</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Taste</w:t>
            </w:r>
          </w:p>
        </w:tc>
        <w:tc>
          <w:tcPr>
            <w:tcW w:w="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Health &amp; Biosciences </w:t>
            </w:r>
          </w:p>
        </w:tc>
        <w:tc>
          <w:tcPr>
            <w:tcW w:w="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Scent</w:t>
            </w:r>
          </w:p>
        </w:tc>
        <w:tc>
          <w:tcPr>
            <w:tcW w:w="9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8"/>
              </w:rPr>
              <w:t>Consolidated</w:t>
            </w:r>
            <w:r>
              <w:rPr>
                <w:rFonts w:ascii="Arial;sans-serif" w:hAnsi="Arial;sans-serif"/>
                <w:b/>
                <w:color w:val="000000"/>
                <w:sz w:val="12"/>
              </w:rPr>
              <w:t>(1)</w:t>
            </w:r>
          </w:p>
        </w:tc>
        <w:tc>
          <w:tcPr>
            <w:tcW w:w="93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_______________________</w:t>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Consolidated Reported Sales and Adjusted Operating EBITDA for the second quarter 2025 includes approximately one month of activity related to the Pharma Solutions disposal group and Nitrocellulose business, that were divested on May 1, 2025 and May 9, 2025, respectively.</w:t>
      </w:r>
    </w:p>
    <w:p>
      <w:pPr>
        <w:pStyle w:val="TextBody"/>
        <w:bidi w:val="0"/>
        <w:spacing w:lineRule="auto" w:line="288"/>
        <w:jc w:val="left"/>
        <w:rPr/>
      </w:pPr>
      <w:r>
        <w:rPr>
          <w:rFonts w:ascii="Arial;sans-serif" w:hAnsi="Arial;sans-serif"/>
          <w:b w:val="false"/>
          <w:color w:val="000000"/>
          <w:sz w:val="12"/>
        </w:rPr>
        <w:t>3</w:t>
      </w:r>
      <w:r>
        <w:rPr>
          <w:color w:val="000000"/>
        </w:rPr>
        <w:t xml:space="preserve"> </w:t>
      </w:r>
      <w:r>
        <w:rPr>
          <w:rFonts w:ascii="Arial;sans-serif" w:hAnsi="Arial;sans-serif"/>
          <w:b w:val="false"/>
          <w:i/>
          <w:color w:val="000000"/>
          <w:sz w:val="18"/>
        </w:rPr>
        <w:t>Comparable results for the second quarter exclude the impact of divestitures.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Taste Segment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On a reported basis, second quarter sales were $688 million. On a comparable basis</w:t>
      </w:r>
      <w:r>
        <w:rPr>
          <w:rFonts w:ascii="Arial;sans-serif" w:hAnsi="Arial;sans-serif"/>
          <w:b w:val="false"/>
          <w:color w:val="000000"/>
          <w:sz w:val="12"/>
        </w:rPr>
        <w:t>3</w:t>
      </w:r>
      <w:r>
        <w:rPr>
          <w:rFonts w:ascii="Arial;sans-serif" w:hAnsi="Arial;sans-serif"/>
          <w:b w:val="false"/>
          <w:color w:val="000000"/>
          <w:sz w:val="18"/>
        </w:rPr>
        <w:t>, currency neutral sales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increased 4% with broad-based growth in all regions.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Taste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$124 million and adjusted operating EBITDA margin</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18.0% in the second quarter. On a comparable basis</w:t>
      </w:r>
      <w:r>
        <w:rPr>
          <w:rFonts w:ascii="Arial;sans-serif" w:hAnsi="Arial;sans-serif"/>
          <w:b w:val="false"/>
          <w:color w:val="000000"/>
          <w:sz w:val="12"/>
        </w:rPr>
        <w:t>3</w:t>
      </w:r>
      <w:r>
        <w:rPr>
          <w:rFonts w:ascii="Arial;sans-serif" w:hAnsi="Arial;sans-serif"/>
          <w:b w:val="false"/>
          <w:color w:val="000000"/>
          <w:sz w:val="18"/>
        </w:rPr>
        <w:t>, currency neutral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increased 6% </w:t>
      </w:r>
      <w:r>
        <w:rPr>
          <w:rFonts w:ascii="Arial;sans-serif" w:hAnsi="Arial;sans-serif"/>
          <w:b w:val="false"/>
          <w:color w:val="000000"/>
          <w:sz w:val="18"/>
          <w:shd w:fill="FFFFFF" w:val="clear"/>
        </w:rPr>
        <w:t>driven primarily by volume growth and favorable net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Health &amp; Biosciences Segment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On a reported basis, second quarter sales were $601 million. On a comparable basis</w:t>
      </w:r>
      <w:r>
        <w:rPr>
          <w:rFonts w:ascii="Arial;sans-serif" w:hAnsi="Arial;sans-serif"/>
          <w:b w:val="false"/>
          <w:color w:val="000000"/>
          <w:sz w:val="12"/>
        </w:rPr>
        <w:t>3</w:t>
      </w:r>
      <w:r>
        <w:rPr>
          <w:rFonts w:ascii="Arial;sans-serif" w:hAnsi="Arial;sans-serif"/>
          <w:b w:val="false"/>
          <w:color w:val="000000"/>
          <w:sz w:val="18"/>
        </w:rPr>
        <w:t>, currency neutral sales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increased 5% with growth in all businesses, led by Grain Processing, Food Biosciences &amp; Animal Nutrition.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Health &amp; Biosciences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$150 million and adjusted operating EBITDA margin</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25.0% in the second quarter. On a comparable basis</w:t>
      </w:r>
      <w:r>
        <w:rPr>
          <w:rFonts w:ascii="Arial;sans-serif" w:hAnsi="Arial;sans-serif"/>
          <w:b w:val="false"/>
          <w:color w:val="000000"/>
          <w:sz w:val="12"/>
        </w:rPr>
        <w:t>3</w:t>
      </w:r>
      <w:r>
        <w:rPr>
          <w:rFonts w:ascii="Arial;sans-serif" w:hAnsi="Arial;sans-serif"/>
          <w:b w:val="false"/>
          <w:color w:val="000000"/>
          <w:sz w:val="18"/>
        </w:rPr>
        <w:t>, currency neutral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increased 6% primarily driven by volume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Scent Segment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On a reported basis, second quarter sales were $665 million. On a comparable basis</w:t>
      </w:r>
      <w:r>
        <w:rPr>
          <w:rFonts w:ascii="Arial;sans-serif" w:hAnsi="Arial;sans-serif"/>
          <w:b w:val="false"/>
          <w:color w:val="000000"/>
          <w:sz w:val="12"/>
        </w:rPr>
        <w:t>3</w:t>
      </w:r>
      <w:r>
        <w:rPr>
          <w:rFonts w:ascii="Arial;sans-serif" w:hAnsi="Arial;sans-serif"/>
          <w:b w:val="false"/>
          <w:color w:val="000000"/>
          <w:sz w:val="18"/>
        </w:rPr>
        <w:t>, currency neutral sales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increased 8% led by double-digit growth in Fragrance Ingredients and a high single-digit performance in Consumer Fragrance. Fine Fragrance increased low-single digits compared to the prior year period as it was impacted by the Middle East conflict.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Scent adjusted operating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$134 million and adjusted operating EBITDA margin</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was 20.2% in the second quarter. On a comparable basis</w:t>
      </w:r>
      <w:r>
        <w:rPr>
          <w:rFonts w:ascii="Arial;sans-serif" w:hAnsi="Arial;sans-serif"/>
          <w:b w:val="false"/>
          <w:color w:val="000000"/>
          <w:sz w:val="12"/>
        </w:rPr>
        <w:t>3</w:t>
      </w:r>
      <w:r>
        <w:rPr>
          <w:rFonts w:ascii="Arial;sans-serif" w:hAnsi="Arial;sans-serif"/>
          <w:b w:val="false"/>
          <w:color w:val="000000"/>
          <w:sz w:val="18"/>
        </w:rPr>
        <w:t>, currency neutral adjusted operating EBITDA</w:t>
      </w:r>
      <w:r>
        <w:rPr>
          <w:rFonts w:ascii="Arial;sans-serif" w:hAnsi="Arial;sans-serif"/>
          <w:b w:val="false"/>
          <w:color w:val="000000"/>
          <w:sz w:val="12"/>
        </w:rPr>
        <w:t xml:space="preserve">2 </w:t>
      </w:r>
      <w:r>
        <w:rPr>
          <w:rFonts w:ascii="Arial;sans-serif" w:hAnsi="Arial;sans-serif"/>
          <w:b w:val="false"/>
          <w:color w:val="000000"/>
          <w:sz w:val="18"/>
        </w:rPr>
        <w:t>increased 5% driven primarily by volume growth and productivity.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18"/>
          <w:u w:val="single"/>
        </w:rPr>
      </w:pPr>
      <w:r>
        <w:rPr>
          <w:rFonts w:ascii="Arial;sans-serif" w:hAnsi="Arial;sans-serif"/>
          <w:b/>
          <w:color w:val="000000"/>
          <w:sz w:val="18"/>
          <w:u w:val="single"/>
        </w:rPr>
        <w:t>Sale of Food Ingredients Disposal Group</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On May 29, 2026, IFF announced that it had entered into a definitive agreement to sell its Food Ingredients disposal group, which was included in the Food Ingredients segment, to CVC Capital Partners for net cash proceeds of approximately $3.8 billion, subject to customary transaction adjustments. The transaction is expected to close by the end of the second quarter of 2027, subject to customary closing conditions and receipt of regulatory approvals. As part of the transaction, IFF will retain an approximately 10% minority equity interest in the business enabling continued collaboration and cooperation between IFF and Food Ingredients.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Stranded costs related to this transaction represent approximately $100 million of corporate and functional expenses previously allocated to the Food Ingredients business that are expected to remain with IFF following the close of the transaction. IFF has a remediation plan in place, with actions underway, and expects to eliminate approximately two thirds of these costs within the first year following the transaction close, and substantially all within two years following transaction close.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March 2, 2026, the Company completed the divestiture of the SCL disposal group, which was also included in the Food Ingredients segment. The divestitures were part of a combined strategy by IFF to divest the majority of its Food Ingredients segment and strengthen its portfolio.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As a result, beginning in the second quarter of 2026, the financial results of the Food Ingredients disposal group and the financial results of the SCL disposal group prior to its divestiture on March 2, 2026, are reflected in IFF’s Consolidated Financial Statements as discontinued operations, along with comparative periods.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classification of the Food Ingredients and SCL businesses as discontinued operations reflects the Company’s continued focus on its remaining innovation-led, higher-growth and higher-margin segments: Taste, Scent and Health &amp; Biosciences. On a continuing operations basis, the Company delivered second quarter 2026 Adjusted Operating EBITDA margin of 20.9%, an improvement compared to 19.7% including discontinued operations.</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u w:val="single"/>
        </w:rPr>
      </w:pPr>
      <w:r>
        <w:rPr>
          <w:rFonts w:ascii="Arial;sans-serif" w:hAnsi="Arial;sans-serif"/>
          <w:b/>
          <w:color w:val="000000"/>
          <w:sz w:val="18"/>
          <w:u w:val="single"/>
        </w:rPr>
        <w:t>Share Repurchase Authorization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The Company announced that its Board of Directors has authorized an enhanced share repurchase authorization with a total value of $2.5 billion; this amount included approximately $400 million remaining on its prior authorization. Under the program, the Board of Directors also authorized an accelerated share repurchase of $500 million, which the Company expects to execute in the second half of 2026. The remaining $2.0 billion share repurchase is expected to be executed following the closing of the Food Ingredients disposal group divestiture, with an expected completion of the program by the end of 2027. The Board will review the share repurchase program periodically and may authorize adjustment of its term and size. The Company plans to fund repurchases from cash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provided by operating activities, short-term debt and net cash proceeds provided by the divestiture of the Food Ingredients disposal group.</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u w:val="single"/>
        </w:rPr>
        <w:t>Financial Guidance</w:t>
      </w:r>
      <w:r>
        <w:rPr>
          <w:rFonts w:ascii="Arial;sans-serif" w:hAnsi="Arial;sans-serif"/>
          <w:b/>
          <w:color w:val="000000"/>
          <w:sz w:val="12"/>
        </w:rPr>
        <w:t>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provided financial guidance to reflect the separation of the Food Ingredients disposal group and SCL disposal group as discontinued operations. For continuing operations, the Company expects full year 2026 sales to be in the range of $7.4 billion to $7.6 billion excluding approximately $3.2 billion related to discontinued operations. For the full year 2026 adjusted operating EBITDA is expected to be in the range of $1.53 billion to $1.60 billion, excluding approximately $520 million related to discontinued operations.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a continuing operations basis, the Company expects comparable currency neutral sales growth to be between 2% to 4%, and comparable currency neutral adjusted operating EBITDA growth to be 4% to 8%.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recent market foreign exchange rates, the Company continues to expect that foreign exchange will have an approximately 1% positive impact on sales growth and have an approximately 2% positive impact on adjusted operating EBITDA growth in 2026.</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Audio Webcast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 live webcast to discuss the Company’s second quarter 2026 financial results will be held on August 5, 2026, at 9:00 a.m. ET. The webcast and accompanying slide presentation may be accessed on the Company’s IR website at </w:t>
      </w:r>
      <w:r>
        <w:rPr>
          <w:rFonts w:ascii="Arial;sans-serif" w:hAnsi="Arial;sans-serif"/>
          <w:b w:val="false"/>
          <w:color w:val="000000"/>
          <w:sz w:val="18"/>
          <w:u w:val="single"/>
        </w:rPr>
        <w:t>ir.iff.com</w:t>
      </w:r>
      <w:r>
        <w:rPr>
          <w:rFonts w:ascii="Arial;sans-serif" w:hAnsi="Arial;sans-serif"/>
          <w:b w:val="false"/>
          <w:color w:val="000000"/>
          <w:sz w:val="18"/>
        </w:rPr>
        <w:t>. For those unable to listen to the live webcast, a recorded version will be made available on the Company’s website approximately one hour after the event and will remain available on IFF’s website for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Cautionary Statement Under The Private Securities Litigation Reform Act of 1995</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br/>
        <w:t>This press release includes statements that are not historical facts and are “forward-looking statements” within the meaning of The Private Securities Litigation Reform Act of 1995. Such forward-looking statements are based on management’s current assumptions, estimates and expectations, including with respect to our financial and operational outlook (sales, adjusted operating EBITDA and cash flow), portfolio optimization initiatives (including the pending divestiture for our Food Ingredients disposal group),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Such risks, uncertainties and other factors include, among others, the following: (1) demand trends, competitive dynamics and customer concentration in our end markets; (2) execution of our strategic transformation and other strategic transactions, divestitures, acquisitions, collaborations and joint ventures; (3) working capital and inventory management; (4) outcomes of legal claims, disputes, regulatory investigations and litigation; (5) tariffs and trade actions, supply chain disruptions and macro events, including geopolitical developments, climate events, natural disasters, public health crises; (6) volatility in input costs (such as raw materials, transportation and energy); (7) attraction, retention and turnover of key employees and executives; (8) product innovation, time-to-market, product safety and quality; (9) cybersecurity incidents, artificial intelligence related risks, data privacy and compliance with data protection laws; (10) exposure to emerging markets, foreign currency fluctuations and international regulatory and political risks; (11) capital allocation, dividend policy and potential impairments of tangible or intangible assets; (12) our indebtedness, credit rating, liquidity, and access to capital; (13) pension and postretirement obligations; (14) compliance with federal, state, local and international rules and regulations, and regulatory, environmental, anti-corruption and sanctions laws and related ethical business practices; (15) protection and enforcement of intellectual property; (16) changes in tax laws and policies, tax audits and outcomes, including potential tax liabilities related to prior transactions; and (17) changes in federal, state, local and international rules and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foregoing list of important factors does not include all such factors, nor necessarily present them in order of importance. Important factors are described under “Risk Factors” in our most recent Annual Report on Form 10-K and in our subsequent filings with the SEC, and those disclosures are incorporated herein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intend our forward-looking statements to speak only as of the time of such statements and do not undertake or plan to update or revise them as more information becomes available or to reflect changes in expectations, assumptions or results, whether as a result of new information, future events or otherwise. We can give no assurance that such expectations or forward-looking statements will prove to be correct. An occurrence of, or any material adverse change in, one or more of the risk factors or risks and uncertainties referred to in this press release or included in our other periodic reports filed with the SEC could materially and adversely impact our operations and our future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Any public statements or disclosures made by us following this press release that modify or impact any of the forward-looking statements contained in or accompanying this press release will be deemed to modify or supersede such outlook or other forward-looking statements in or accompanying this press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Use of 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provide in this press release non-GAAP financial measures, including: (i) comparable currency neutral sales; (ii) adjusted operating EBITDA and comparable currency neutral adjusted operating EBITDA; (iii) adjusted operating EBITDA margin; (iv) adjusted EPS ex amortization; (v) free cash flow; and (vi) net debt to credit adjusted EBITDA. Unless otherwise noted, all amounts and percentages in this press release reflect the results from continuing operations, with the exception of the Statements of Cash Flows and net debt to credit adjusted EBITDA which are presented on a combined continuing and discontinued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non-GAAP financial measures are defined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Currency Neutral metrics eliminate the effects that result from translating non-U.S. currencies to U.S. dollars. We calculate currency neutral numbers by translating current year invoiced sale amounts at the exchange rates used for the corresponding prior year period. We use currency neutral results in our analysis of segment performance. We also use currency neutral numbers when analyzing our performance against that of our competitors.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Comparable results for the second quarter exclude the impact of divestitures.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operating EBITDA and adjusted operating EBITDA margin exclude depreciation and amortization, interest expense, other expense, net, and certain non-recurring or unusual items that are not part of recurring operations such as impairment of goodwill, restructuring and other charges, losses (gains on business disposals, loss on assets classified as held for sale, divestiture costs, strategic initiatives costs, regulatory costs, gain on debt extinguishment, entity realignment and other items.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Adjusted EPS ex Amortization excludes the impact of non-operational items including restructuring and other charges, divestiture costs, losses (gains) on business disposals, strategic initiatives costs, regulatory costs and other items that are not a part of recurring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Free Cash Flow is operating cash flow (i.e., cash flow from operations) less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debt to credit adjusted EBITDA is the leverage ratio used in our credit agreements and defined as net debt (which is debt for borrowed money less cash and cash equivalents) divided by the trailing 12-month credit adjusted EBITDA. Credit adjusted EBITDA is defined as income (loss) before interest expense, income taxes, depreciation and amortization, specified items and non-cash items.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These non-GAAP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GAAP measures should not be considered in isolation or as substitutes for analysis of the Company’s results under GAAP and may not be comparable to other companies’ calculation of such metrics.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cannot reconcile its expected adjusted operating EBITDA under "Financial Guidance" without unreasonable effort because certain items that impact net income and other reconciling metrics are out of the Company's control and/or cannot be reasonably predicted at this time. These items include but are not limited to divestiture costs, gains (losses) on business disposals, and regulatory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Welcome to IFF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IFF (NYSE: IFF), we make joy through science, creativity and heart. As the global leader in flavors, fragrances, and health and biosciences, we deliver groundbreaking, sustainable innovations that elevate everyday products—advancing wellness, delighting the senses and enhancing the human experience. Learn more at iff.com, LinkedIn, Instagram and Facebook.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 except per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301"/>
        <w:gridCol w:w="928"/>
        <w:gridCol w:w="922"/>
        <w:gridCol w:w="196"/>
        <w:gridCol w:w="556"/>
        <w:gridCol w:w="109"/>
        <w:gridCol w:w="109"/>
        <w:gridCol w:w="109"/>
        <w:gridCol w:w="109"/>
        <w:gridCol w:w="196"/>
        <w:gridCol w:w="556"/>
        <w:gridCol w:w="109"/>
        <w:gridCol w:w="109"/>
        <w:gridCol w:w="109"/>
        <w:gridCol w:w="109"/>
        <w:gridCol w:w="229"/>
        <w:gridCol w:w="229"/>
        <w:gridCol w:w="496"/>
        <w:gridCol w:w="109"/>
        <w:gridCol w:w="109"/>
        <w:gridCol w:w="109"/>
        <w:gridCol w:w="196"/>
        <w:gridCol w:w="556"/>
        <w:gridCol w:w="109"/>
        <w:gridCol w:w="109"/>
        <w:gridCol w:w="109"/>
        <w:gridCol w:w="109"/>
        <w:gridCol w:w="196"/>
        <w:gridCol w:w="556"/>
        <w:gridCol w:w="109"/>
        <w:gridCol w:w="109"/>
        <w:gridCol w:w="109"/>
        <w:gridCol w:w="109"/>
        <w:gridCol w:w="229"/>
        <w:gridCol w:w="229"/>
        <w:gridCol w:w="563"/>
      </w:tblGrid>
      <w:tr>
        <w:trPr/>
        <w:tc>
          <w:tcPr>
            <w:tcW w:w="130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acquisition-related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r>
      <w:tr>
        <w:trPr/>
        <w:tc>
          <w:tcPr>
            <w:tcW w:w="31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Losses on sale of assets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business disposals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assets classified as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continuing operations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(loss) from discontinued operations before tax </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interests from 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NMF</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IFF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Average number of shares outstanding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number of shares outstanding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number of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1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1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6"/>
        </w:rPr>
        <w:t>NMF</w:t>
      </w:r>
      <w:r>
        <w:rPr>
          <w:color w:val="FFFFFF"/>
        </w:rPr>
        <w:t xml:space="preserve"> </w:t>
      </w:r>
      <w:r>
        <w:rPr>
          <w:rFonts w:ascii="Arial;sans-serif" w:hAnsi="Arial;sans-serif"/>
          <w:b w:val="false"/>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7846" w:type="dxa"/>
        <w:jc w:val="center"/>
        <w:tblInd w:w="0" w:type="dxa"/>
        <w:tblLayout w:type="fixed"/>
        <w:tblCellMar>
          <w:top w:w="28" w:type="dxa"/>
          <w:left w:w="28" w:type="dxa"/>
          <w:bottom w:w="28" w:type="dxa"/>
          <w:right w:w="28" w:type="dxa"/>
        </w:tblCellMar>
      </w:tblPr>
      <w:tblGrid>
        <w:gridCol w:w="1841"/>
        <w:gridCol w:w="1617"/>
        <w:gridCol w:w="1626"/>
        <w:gridCol w:w="211"/>
        <w:gridCol w:w="721"/>
        <w:gridCol w:w="109"/>
        <w:gridCol w:w="109"/>
        <w:gridCol w:w="109"/>
        <w:gridCol w:w="109"/>
        <w:gridCol w:w="271"/>
        <w:gridCol w:w="926"/>
        <w:gridCol w:w="197"/>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assets of discontinued operations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5,594 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25,539 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liabilities of discontinued operations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Non-current liabilities of discontinued operations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 including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25,539 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pPr>
      <w:r>
        <w:rPr>
          <w:rFonts w:ascii="Arial;sans-serif" w:hAnsi="Arial;sans-serif"/>
          <w:b/>
          <w:color w:val="000000"/>
          <w:sz w:val="18"/>
        </w:rPr>
        <w:t>Consolidated Statements of Cash Flows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7801" w:type="dxa"/>
        <w:jc w:val="center"/>
        <w:tblInd w:w="0" w:type="dxa"/>
        <w:tblLayout w:type="fixed"/>
        <w:tblCellMar>
          <w:top w:w="28" w:type="dxa"/>
          <w:left w:w="28" w:type="dxa"/>
          <w:bottom w:w="28" w:type="dxa"/>
          <w:right w:w="28" w:type="dxa"/>
        </w:tblCellMar>
      </w:tblPr>
      <w:tblGrid>
        <w:gridCol w:w="1957"/>
        <w:gridCol w:w="1719"/>
        <w:gridCol w:w="1724"/>
        <w:gridCol w:w="237"/>
        <w:gridCol w:w="511"/>
        <w:gridCol w:w="132"/>
        <w:gridCol w:w="132"/>
        <w:gridCol w:w="132"/>
        <w:gridCol w:w="132"/>
        <w:gridCol w:w="237"/>
        <w:gridCol w:w="602"/>
        <w:gridCol w:w="132"/>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to net cash provided by operating activities</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assets classified as held for sale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Losses on sale of assets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business disposals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extinguishment of debt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acquisitions:</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receivables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for incentive compensation</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assets/liabilities, net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cash provided by operating activities </w:t>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intangible assets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Joint venture capital contributions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received from business disposals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to buyer for business disposals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received on foreign currency forward contracts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cash (used in) provided by investing activities </w:t>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paid to shareholders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repayments of commercial paper (maturities less than three months)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of debt</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Withholding tax paid on stock-based compensation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7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cash and cash equivalents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year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(1) The cash flows from discontinued operations are included in the Consolidated Statements of Cash Flows.</w:t>
      </w:r>
    </w:p>
    <w:p>
      <w:pPr>
        <w:pStyle w:val="TextBody"/>
        <w:bidi w:val="0"/>
        <w:spacing w:before="60" w:after="283"/>
        <w:jc w:val="both"/>
        <w:rPr/>
      </w:pPr>
      <w:r>
        <w:rPr/>
      </w:r>
    </w:p>
    <w:p>
      <w:pPr>
        <w:pStyle w:val="TextBody"/>
        <w:bidi w:val="0"/>
        <w:spacing w:lineRule="auto" w:line="288" w:before="60" w:after="283"/>
        <w:ind w:left="0" w:right="0" w:firstLine="360"/>
        <w:jc w:val="both"/>
        <w:rPr>
          <w:rFonts w:ascii="Arial;sans-serif" w:hAnsi="Arial;sans-serif"/>
          <w:b w:val="false"/>
          <w:color w:val="000000"/>
          <w:sz w:val="16"/>
        </w:rPr>
      </w:pPr>
      <w:r>
        <w:rPr>
          <w:rFonts w:ascii="Arial;sans-serif" w:hAnsi="Arial;sans-serif"/>
          <w:b w:val="false"/>
          <w:color w:val="000000"/>
          <w:sz w:val="16"/>
        </w:rPr>
        <w:t>The following table reconciles cash and cash equivalents between the Company's statement of cash flows for the periods ended June 30, 2026 and June 30, 2025 to the amounts reported on the Company's balance sheet:</w:t>
      </w:r>
    </w:p>
    <w:p>
      <w:pPr>
        <w:pStyle w:val="TextBody"/>
        <w:bidi w:val="0"/>
        <w:spacing w:before="60" w:after="283"/>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443"/>
        <w:gridCol w:w="1260"/>
        <w:gridCol w:w="1267"/>
        <w:gridCol w:w="300"/>
        <w:gridCol w:w="646"/>
        <w:gridCol w:w="166"/>
        <w:gridCol w:w="109"/>
        <w:gridCol w:w="109"/>
        <w:gridCol w:w="109"/>
        <w:gridCol w:w="402"/>
        <w:gridCol w:w="863"/>
        <w:gridCol w:w="224"/>
        <w:gridCol w:w="109"/>
        <w:gridCol w:w="109"/>
        <w:gridCol w:w="109"/>
        <w:gridCol w:w="300"/>
        <w:gridCol w:w="646"/>
        <w:gridCol w:w="166"/>
        <w:gridCol w:w="109"/>
        <w:gridCol w:w="109"/>
        <w:gridCol w:w="109"/>
        <w:gridCol w:w="389"/>
        <w:gridCol w:w="837"/>
        <w:gridCol w:w="315"/>
      </w:tblGrid>
      <w:tr>
        <w:trPr/>
        <w:tc>
          <w:tcPr>
            <w:tcW w:w="144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AMOUNTS IN MILLIONS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assets</w:t>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included in Assets held for sale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97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Reportable Segment Performance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038" w:type="dxa"/>
        <w:jc w:val="center"/>
        <w:tblInd w:w="0" w:type="dxa"/>
        <w:tblLayout w:type="fixed"/>
        <w:tblCellMar>
          <w:top w:w="28" w:type="dxa"/>
          <w:left w:w="28" w:type="dxa"/>
          <w:bottom w:w="28" w:type="dxa"/>
          <w:right w:w="28" w:type="dxa"/>
        </w:tblCellMar>
      </w:tblPr>
      <w:tblGrid>
        <w:gridCol w:w="1127"/>
        <w:gridCol w:w="989"/>
        <w:gridCol w:w="1003"/>
        <w:gridCol w:w="211"/>
        <w:gridCol w:w="466"/>
        <w:gridCol w:w="109"/>
        <w:gridCol w:w="109"/>
        <w:gridCol w:w="109"/>
        <w:gridCol w:w="109"/>
        <w:gridCol w:w="109"/>
        <w:gridCol w:w="109"/>
        <w:gridCol w:w="522"/>
        <w:gridCol w:w="1155"/>
        <w:gridCol w:w="272"/>
        <w:gridCol w:w="109"/>
        <w:gridCol w:w="109"/>
        <w:gridCol w:w="109"/>
        <w:gridCol w:w="211"/>
        <w:gridCol w:w="466"/>
        <w:gridCol w:w="109"/>
        <w:gridCol w:w="109"/>
        <w:gridCol w:w="109"/>
        <w:gridCol w:w="109"/>
        <w:gridCol w:w="109"/>
        <w:gridCol w:w="109"/>
        <w:gridCol w:w="211"/>
        <w:gridCol w:w="61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1526" w:type="dxa"/>
            <w:gridSpan w:val="8"/>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Cost of Sales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Research &amp; Development Expenses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Selling &amp; Administrative Expenses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Expense Add-back (a)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7" w:type="dxa"/>
        <w:jc w:val="left"/>
        <w:tblInd w:w="0" w:type="dxa"/>
        <w:tblLayout w:type="fixed"/>
        <w:tblCellMar>
          <w:top w:w="28" w:type="dxa"/>
          <w:left w:w="28" w:type="dxa"/>
          <w:bottom w:w="28" w:type="dxa"/>
          <w:right w:w="28" w:type="dxa"/>
        </w:tblCellMar>
      </w:tblPr>
      <w:tblGrid>
        <w:gridCol w:w="514"/>
        <w:gridCol w:w="452"/>
        <w:gridCol w:w="452"/>
        <w:gridCol w:w="452"/>
        <w:gridCol w:w="452"/>
        <w:gridCol w:w="452"/>
        <w:gridCol w:w="452"/>
        <w:gridCol w:w="452"/>
        <w:gridCol w:w="458"/>
        <w:gridCol w:w="211"/>
        <w:gridCol w:w="46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 (b)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 (d)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Assets Classified as Held for Sale (e)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(f)</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 Costs (g)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(j)</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Taxes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1423"/>
        <w:gridCol w:w="1251"/>
        <w:gridCol w:w="1255"/>
        <w:gridCol w:w="255"/>
        <w:gridCol w:w="256"/>
        <w:gridCol w:w="31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Operating EBITDA Margin</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4"/>
        <w:gridCol w:w="881"/>
        <w:gridCol w:w="892"/>
        <w:gridCol w:w="211"/>
        <w:gridCol w:w="466"/>
        <w:gridCol w:w="109"/>
        <w:gridCol w:w="109"/>
        <w:gridCol w:w="109"/>
        <w:gridCol w:w="109"/>
        <w:gridCol w:w="109"/>
        <w:gridCol w:w="109"/>
        <w:gridCol w:w="494"/>
        <w:gridCol w:w="1092"/>
        <w:gridCol w:w="257"/>
        <w:gridCol w:w="109"/>
        <w:gridCol w:w="109"/>
        <w:gridCol w:w="109"/>
        <w:gridCol w:w="211"/>
        <w:gridCol w:w="466"/>
        <w:gridCol w:w="109"/>
        <w:gridCol w:w="109"/>
        <w:gridCol w:w="109"/>
        <w:gridCol w:w="109"/>
        <w:gridCol w:w="399"/>
        <w:gridCol w:w="885"/>
        <w:gridCol w:w="208"/>
        <w:gridCol w:w="109"/>
        <w:gridCol w:w="109"/>
        <w:gridCol w:w="109"/>
        <w:gridCol w:w="211"/>
        <w:gridCol w:w="616"/>
        <w:gridCol w:w="158"/>
      </w:tblGrid>
      <w:tr>
        <w:trPr/>
        <w:tc>
          <w:tcPr>
            <w:tcW w:w="101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1312" w:type="dxa"/>
            <w:gridSpan w:val="6"/>
            <w:tcBorders/>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Pharma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Cost of Sales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&amp; Development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 Add-back (a)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2" w:type="dxa"/>
        <w:jc w:val="left"/>
        <w:tblInd w:w="0" w:type="dxa"/>
        <w:tblLayout w:type="fixed"/>
        <w:tblCellMar>
          <w:top w:w="28" w:type="dxa"/>
          <w:left w:w="28" w:type="dxa"/>
          <w:bottom w:w="28" w:type="dxa"/>
          <w:right w:w="28" w:type="dxa"/>
        </w:tblCellMar>
      </w:tblPr>
      <w:tblGrid>
        <w:gridCol w:w="387"/>
        <w:gridCol w:w="340"/>
        <w:gridCol w:w="340"/>
        <w:gridCol w:w="340"/>
        <w:gridCol w:w="340"/>
        <w:gridCol w:w="340"/>
        <w:gridCol w:w="340"/>
        <w:gridCol w:w="340"/>
        <w:gridCol w:w="340"/>
        <w:gridCol w:w="340"/>
        <w:gridCol w:w="340"/>
        <w:gridCol w:w="344"/>
        <w:gridCol w:w="211"/>
        <w:gridCol w:w="466"/>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 (b)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 (d)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(f)</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 Costs (g)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Debt Extinguishment (i)</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(j)</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Taxes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1423"/>
        <w:gridCol w:w="1251"/>
        <w:gridCol w:w="1255"/>
        <w:gridCol w:w="255"/>
        <w:gridCol w:w="256"/>
        <w:gridCol w:w="31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Operating EBITDA Margin</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 Solutions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9294" w:type="dxa"/>
        <w:jc w:val="left"/>
        <w:tblInd w:w="0" w:type="dxa"/>
        <w:tblLayout w:type="fixed"/>
        <w:tblCellMar>
          <w:top w:w="28" w:type="dxa"/>
          <w:left w:w="28" w:type="dxa"/>
          <w:bottom w:w="28" w:type="dxa"/>
          <w:right w:w="28" w:type="dxa"/>
        </w:tblCellMar>
      </w:tblPr>
      <w:tblGrid>
        <w:gridCol w:w="1111"/>
        <w:gridCol w:w="975"/>
        <w:gridCol w:w="988"/>
        <w:gridCol w:w="211"/>
        <w:gridCol w:w="616"/>
        <w:gridCol w:w="109"/>
        <w:gridCol w:w="109"/>
        <w:gridCol w:w="109"/>
        <w:gridCol w:w="109"/>
        <w:gridCol w:w="109"/>
        <w:gridCol w:w="109"/>
        <w:gridCol w:w="439"/>
        <w:gridCol w:w="1283"/>
        <w:gridCol w:w="228"/>
        <w:gridCol w:w="109"/>
        <w:gridCol w:w="109"/>
        <w:gridCol w:w="109"/>
        <w:gridCol w:w="211"/>
        <w:gridCol w:w="616"/>
        <w:gridCol w:w="109"/>
        <w:gridCol w:w="109"/>
        <w:gridCol w:w="109"/>
        <w:gridCol w:w="109"/>
        <w:gridCol w:w="109"/>
        <w:gridCol w:w="109"/>
        <w:gridCol w:w="211"/>
        <w:gridCol w:w="61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526" w:type="dxa"/>
            <w:gridSpan w:val="8"/>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&amp; Development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 Add-back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2" w:type="dxa"/>
        <w:jc w:val="left"/>
        <w:tblInd w:w="0" w:type="dxa"/>
        <w:tblLayout w:type="fixed"/>
        <w:tblCellMar>
          <w:top w:w="28" w:type="dxa"/>
          <w:left w:w="28" w:type="dxa"/>
          <w:bottom w:w="28" w:type="dxa"/>
          <w:right w:w="28" w:type="dxa"/>
        </w:tblCellMar>
      </w:tblPr>
      <w:tblGrid>
        <w:gridCol w:w="387"/>
        <w:gridCol w:w="340"/>
        <w:gridCol w:w="340"/>
        <w:gridCol w:w="340"/>
        <w:gridCol w:w="340"/>
        <w:gridCol w:w="340"/>
        <w:gridCol w:w="340"/>
        <w:gridCol w:w="340"/>
        <w:gridCol w:w="340"/>
        <w:gridCol w:w="340"/>
        <w:gridCol w:w="340"/>
        <w:gridCol w:w="344"/>
        <w:gridCol w:w="211"/>
        <w:gridCol w:w="466"/>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 (b)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 (d)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Assets Classified as Held for Sale (e)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(f)</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 Costs (g)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(j)</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Taxes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1423"/>
        <w:gridCol w:w="1251"/>
        <w:gridCol w:w="1255"/>
        <w:gridCol w:w="255"/>
        <w:gridCol w:w="256"/>
        <w:gridCol w:w="31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Operating EBITDA Margin</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8"/>
        <w:gridCol w:w="826"/>
        <w:gridCol w:w="837"/>
        <w:gridCol w:w="211"/>
        <w:gridCol w:w="616"/>
        <w:gridCol w:w="109"/>
        <w:gridCol w:w="109"/>
        <w:gridCol w:w="109"/>
        <w:gridCol w:w="109"/>
        <w:gridCol w:w="109"/>
        <w:gridCol w:w="109"/>
        <w:gridCol w:w="401"/>
        <w:gridCol w:w="1173"/>
        <w:gridCol w:w="208"/>
        <w:gridCol w:w="109"/>
        <w:gridCol w:w="109"/>
        <w:gridCol w:w="109"/>
        <w:gridCol w:w="211"/>
        <w:gridCol w:w="616"/>
        <w:gridCol w:w="109"/>
        <w:gridCol w:w="109"/>
        <w:gridCol w:w="109"/>
        <w:gridCol w:w="109"/>
        <w:gridCol w:w="379"/>
        <w:gridCol w:w="842"/>
        <w:gridCol w:w="198"/>
        <w:gridCol w:w="109"/>
        <w:gridCol w:w="109"/>
        <w:gridCol w:w="109"/>
        <w:gridCol w:w="211"/>
        <w:gridCol w:w="616"/>
        <w:gridCol w:w="158"/>
      </w:tblGrid>
      <w:tr>
        <w:trPr/>
        <w:tc>
          <w:tcPr>
            <w:tcW w:w="95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312" w:type="dxa"/>
            <w:gridSpan w:val="6"/>
            <w:tcBorders/>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Pharma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&amp; Development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 Add-back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2" w:type="dxa"/>
        <w:jc w:val="left"/>
        <w:tblInd w:w="0" w:type="dxa"/>
        <w:tblLayout w:type="fixed"/>
        <w:tblCellMar>
          <w:top w:w="28" w:type="dxa"/>
          <w:left w:w="28" w:type="dxa"/>
          <w:bottom w:w="28" w:type="dxa"/>
          <w:right w:w="28" w:type="dxa"/>
        </w:tblCellMar>
      </w:tblPr>
      <w:tblGrid>
        <w:gridCol w:w="387"/>
        <w:gridCol w:w="340"/>
        <w:gridCol w:w="340"/>
        <w:gridCol w:w="340"/>
        <w:gridCol w:w="340"/>
        <w:gridCol w:w="340"/>
        <w:gridCol w:w="340"/>
        <w:gridCol w:w="340"/>
        <w:gridCol w:w="340"/>
        <w:gridCol w:w="340"/>
        <w:gridCol w:w="340"/>
        <w:gridCol w:w="344"/>
        <w:gridCol w:w="211"/>
        <w:gridCol w:w="466"/>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 (b)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 (c)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 (d)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2875" w:type="dxa"/>
            <w:gridSpan w:val="9"/>
            <w:tcBorders/>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(f)</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 Costs (g)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Debt Extinguishment (i)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(j)</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Taxes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1423"/>
        <w:gridCol w:w="1251"/>
        <w:gridCol w:w="1255"/>
        <w:gridCol w:w="255"/>
        <w:gridCol w:w="256"/>
        <w:gridCol w:w="31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Operating EBITDA Margin</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 Solutions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There is depreciation recorded within cost of sales, research &amp; development expenses, and selling &amp; administrative expenses, which is then added back to calculate segment Adjusted Operating EBITDA. This reflects how the CODM reviews Segment results.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related to severance as part of the IFF Productivity Program.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impairment of goodwill attributable to the portion of the Food Ingredients reporting unit that is not included within the Food Ingredients or SCL disposal groups.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primarily represents losses recognized as part of final closing price adjustments related to the divestiture of the Nitrocellulose business in 2025. For 2025, primarily represents losses recognized as part of the sale of the Pharma Solutions disposal group, offset in part by gains recognized as part of the sale of the Nitrocellulose business.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represents the loss on assets classified as held for sale related to the CitraSource business within the Scent segment.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primarily represents costs related to the Company’s completed and anticipated divestitures, excluding external costs related to the planned divestiture of the Food Ingredients and SCL disposal groups. These costs primarily consisted of external consulting fees, professional and legal fees and salaries of individuals who are fully dedicated to such efforts.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primarily related to provisions recognized for the ongoing investigations of the fragrance businesses and legal fees incurred.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2025, represents the gain recognized on the extinguishment of debt in connection with the completion of the tender offers.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2025, the Company implemented a phased restructuring initiative aimed at optimizing its legal entity framework. A one-time tax benefit was achieved as part of this restructuring which is partially offset by the execution costs to implement.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2025, represents the net impact of costs related to severance, including accelerated stock compensation expense, for certain executives who have separated from the Company, in addition to consulting costs related to the Company’s implementation of a phased restructuring initiative aimed at optimizing its legal entity framework.</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Discontinued Operations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9296" w:type="dxa"/>
        <w:jc w:val="center"/>
        <w:tblInd w:w="0" w:type="dxa"/>
        <w:tblLayout w:type="fixed"/>
        <w:tblCellMar>
          <w:top w:w="28" w:type="dxa"/>
          <w:left w:w="28" w:type="dxa"/>
          <w:bottom w:w="28" w:type="dxa"/>
          <w:right w:w="28" w:type="dxa"/>
        </w:tblCellMar>
      </w:tblPr>
      <w:tblGrid>
        <w:gridCol w:w="2402"/>
        <w:gridCol w:w="2109"/>
        <w:gridCol w:w="2119"/>
        <w:gridCol w:w="458"/>
        <w:gridCol w:w="236"/>
        <w:gridCol w:w="236"/>
        <w:gridCol w:w="236"/>
        <w:gridCol w:w="236"/>
        <w:gridCol w:w="236"/>
        <w:gridCol w:w="458"/>
        <w:gridCol w:w="236"/>
        <w:gridCol w:w="334"/>
      </w:tblGrid>
      <w:tr>
        <w:trPr/>
        <w:tc>
          <w:tcPr>
            <w:tcW w:w="240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 from Discontinued Operations:</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Before Tax</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 (a)</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(c)</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EBITDA from Discontinued Operations</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EBITDA from Continuing Operations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IFF Adjusted Operating EBITDA Inclusive of Discontinued Operations</w:t>
            </w:r>
          </w:p>
        </w:tc>
        <w:tc>
          <w:tcPr>
            <w:tcW w:w="4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w:t>
            </w:r>
          </w:p>
        </w:tc>
      </w:tr>
    </w:tbl>
    <w:p>
      <w:pPr>
        <w:pStyle w:val="TextBody"/>
        <w:bidi w:val="0"/>
        <w:spacing w:before="0" w:after="0"/>
        <w:jc w:val="center"/>
        <w:rPr/>
      </w:pPr>
      <w:r>
        <w:rPr/>
      </w:r>
    </w:p>
    <w:tbl>
      <w:tblPr>
        <w:tblW w:w="9441" w:type="dxa"/>
        <w:jc w:val="center"/>
        <w:tblInd w:w="0" w:type="dxa"/>
        <w:tblLayout w:type="fixed"/>
        <w:tblCellMar>
          <w:top w:w="28" w:type="dxa"/>
          <w:left w:w="28" w:type="dxa"/>
          <w:bottom w:w="28" w:type="dxa"/>
          <w:right w:w="28" w:type="dxa"/>
        </w:tblCellMar>
      </w:tblPr>
      <w:tblGrid>
        <w:gridCol w:w="2402"/>
        <w:gridCol w:w="2109"/>
        <w:gridCol w:w="2119"/>
        <w:gridCol w:w="419"/>
        <w:gridCol w:w="374"/>
        <w:gridCol w:w="216"/>
        <w:gridCol w:w="216"/>
        <w:gridCol w:w="216"/>
        <w:gridCol w:w="216"/>
        <w:gridCol w:w="419"/>
        <w:gridCol w:w="304"/>
        <w:gridCol w:w="431"/>
      </w:tblGrid>
      <w:tr>
        <w:trPr/>
        <w:tc>
          <w:tcPr>
            <w:tcW w:w="240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Adjusted Operating EBITDA from Discontinued Operations: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Before Tax</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 (a)</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 (b)</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(c)</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 (d)</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 (e)</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EBITDA from Discontinued Operations</w:t>
            </w:r>
          </w:p>
        </w:tc>
        <w:tc>
          <w:tcPr>
            <w:tcW w:w="1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EBITDA from Continuing Operations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IFF Adjusted Operating EBITDA Inclusive of Discontinued Operations</w:t>
            </w:r>
          </w:p>
        </w:tc>
        <w:tc>
          <w:tcPr>
            <w:tcW w:w="4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43"/>
        <w:gridCol w:w="2865"/>
        <w:gridCol w:w="40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primarily represents foreign exchange losses (gains).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severance costs under the IFF Productivity Program.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primarily represents costs related to the Company’s anticipated divestiture of the Food Ingredients disposal group and completed divestiture of the SCL disposal group. These costs primarily consisted of external consulting fees and professional and legal fees.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represents losses recognized upon the sale of the SCL disposal group.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impairment of goodwill attributable to the portion of the Food Ingredients reporting unit classified within the Food Ingredients disposal group and the SCL disposal group.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International Flavors &amp; Fragrances Inc.</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GAAP to Non-GAAP Reconciliation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three months ended June 30, 2026 and 2025, there was no difference between Reported (GAAP) and Adjusted (Non-GAAP) gross profit. </w:t>
      </w:r>
    </w:p>
    <w:p>
      <w:pPr>
        <w:pStyle w:val="TextBody"/>
        <w:bidi w:val="0"/>
        <w:spacing w:before="0" w:after="0"/>
        <w:jc w:val="center"/>
        <w:rPr/>
      </w:pPr>
      <w:r>
        <w:rPr/>
      </w:r>
    </w:p>
    <w:tbl>
      <w:tblPr>
        <w:tblW w:w="6548" w:type="dxa"/>
        <w:jc w:val="center"/>
        <w:tblInd w:w="0" w:type="dxa"/>
        <w:tblLayout w:type="fixed"/>
        <w:tblCellMar>
          <w:top w:w="28" w:type="dxa"/>
          <w:left w:w="28" w:type="dxa"/>
          <w:bottom w:w="28" w:type="dxa"/>
          <w:right w:w="28" w:type="dxa"/>
        </w:tblCellMar>
      </w:tblPr>
      <w:tblGrid>
        <w:gridCol w:w="884"/>
        <w:gridCol w:w="778"/>
        <w:gridCol w:w="783"/>
        <w:gridCol w:w="445"/>
        <w:gridCol w:w="984"/>
        <w:gridCol w:w="230"/>
        <w:gridCol w:w="230"/>
        <w:gridCol w:w="230"/>
        <w:gridCol w:w="230"/>
        <w:gridCol w:w="445"/>
        <w:gridCol w:w="984"/>
        <w:gridCol w:w="325"/>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54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Reconciliation of Selling and Administrative Expenses</w:t>
            </w:r>
            <w:r>
              <w:rPr>
                <w:rFonts w:ascii="Arial;sans-serif" w:hAnsi="Arial;sans-serif"/>
                <w:b/>
                <w:color w:val="000000"/>
                <w:sz w:val="12"/>
              </w:rPr>
              <w:t>1</w:t>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IN MILLIONS)</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(GAAP)</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(b)</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Initiatives Costs (e)</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(f)</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(h)</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(Non-GAAP)</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GAAP to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tbl>
      <w:tblPr>
        <w:tblW w:w="10205" w:type="dxa"/>
        <w:jc w:val="center"/>
        <w:tblInd w:w="0" w:type="dxa"/>
        <w:tblLayout w:type="fixed"/>
        <w:tblCellMar>
          <w:top w:w="28" w:type="dxa"/>
          <w:left w:w="28" w:type="dxa"/>
          <w:bottom w:w="28" w:type="dxa"/>
          <w:right w:w="28" w:type="dxa"/>
        </w:tblCellMar>
      </w:tblPr>
      <w:tblGrid>
        <w:gridCol w:w="641"/>
        <w:gridCol w:w="333"/>
        <w:gridCol w:w="335"/>
        <w:gridCol w:w="202"/>
        <w:gridCol w:w="435"/>
        <w:gridCol w:w="112"/>
        <w:gridCol w:w="109"/>
        <w:gridCol w:w="109"/>
        <w:gridCol w:w="109"/>
        <w:gridCol w:w="235"/>
        <w:gridCol w:w="399"/>
        <w:gridCol w:w="132"/>
        <w:gridCol w:w="109"/>
        <w:gridCol w:w="109"/>
        <w:gridCol w:w="109"/>
        <w:gridCol w:w="260"/>
        <w:gridCol w:w="560"/>
        <w:gridCol w:w="146"/>
        <w:gridCol w:w="109"/>
        <w:gridCol w:w="109"/>
        <w:gridCol w:w="109"/>
        <w:gridCol w:w="197"/>
        <w:gridCol w:w="470"/>
        <w:gridCol w:w="109"/>
        <w:gridCol w:w="109"/>
        <w:gridCol w:w="109"/>
        <w:gridCol w:w="109"/>
        <w:gridCol w:w="202"/>
        <w:gridCol w:w="435"/>
        <w:gridCol w:w="112"/>
        <w:gridCol w:w="109"/>
        <w:gridCol w:w="109"/>
        <w:gridCol w:w="109"/>
        <w:gridCol w:w="210"/>
        <w:gridCol w:w="474"/>
        <w:gridCol w:w="117"/>
        <w:gridCol w:w="109"/>
        <w:gridCol w:w="109"/>
        <w:gridCol w:w="109"/>
        <w:gridCol w:w="260"/>
        <w:gridCol w:w="560"/>
        <w:gridCol w:w="146"/>
        <w:gridCol w:w="109"/>
        <w:gridCol w:w="109"/>
        <w:gridCol w:w="109"/>
        <w:gridCol w:w="197"/>
        <w:gridCol w:w="469"/>
        <w:gridCol w:w="168"/>
      </w:tblGrid>
      <w:tr>
        <w:trPr/>
        <w:tc>
          <w:tcPr>
            <w:tcW w:w="6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Reconciliation of Net Income (Loss) and EPS from Continuing Operations</w:t>
            </w:r>
            <w:r>
              <w:rPr>
                <w:rFonts w:ascii="Arial;sans-serif" w:hAnsi="Arial;sans-serif"/>
                <w:b/>
                <w:color w:val="000000"/>
                <w:sz w:val="12"/>
              </w:rPr>
              <w:t>1</w:t>
            </w:r>
          </w:p>
        </w:tc>
      </w:tr>
      <w:tr>
        <w:trPr/>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6"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Second Quarter</w:t>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IN MILLIONS EXCEPT PER SHARE AMOUNTS)</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(Benefit) Provision for income taxes (j)</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income attributable to IFF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Diluted EPS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(Benefit) Provision for income taxes (j)</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income attributable to IFF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(GAAP)</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(a)</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 Costs (b)</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Business Disposals (c)</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Assets Classified as Held for Sale (d)</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Strategic Initiative Costs (e)</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Costs (f)</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debt extinguishment (g)</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Entity Realignment Costs (h)</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705" w:type="dxa"/>
        <w:jc w:val="center"/>
        <w:tblInd w:w="0" w:type="dxa"/>
        <w:tblLayout w:type="fixed"/>
        <w:tblCellMar>
          <w:top w:w="28" w:type="dxa"/>
          <w:left w:w="28" w:type="dxa"/>
          <w:bottom w:w="28" w:type="dxa"/>
          <w:right w:w="28" w:type="dxa"/>
        </w:tblCellMar>
      </w:tblPr>
      <w:tblGrid>
        <w:gridCol w:w="1854"/>
        <w:gridCol w:w="1632"/>
        <w:gridCol w:w="1643"/>
        <w:gridCol w:w="469"/>
        <w:gridCol w:w="1115"/>
        <w:gridCol w:w="260"/>
        <w:gridCol w:w="260"/>
        <w:gridCol w:w="260"/>
        <w:gridCol w:w="260"/>
        <w:gridCol w:w="469"/>
        <w:gridCol w:w="1115"/>
        <w:gridCol w:w="368"/>
      </w:tblGrid>
      <w:tr>
        <w:trPr/>
        <w:tc>
          <w:tcPr>
            <w:tcW w:w="185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7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Reconciliation of Adjusted (Non-GAAP) EPS ex. Amortization</w:t>
            </w:r>
            <w:r>
              <w:rPr>
                <w:rFonts w:ascii="Arial;sans-serif" w:hAnsi="Arial;sans-serif"/>
                <w:b/>
                <w:color w:val="000000"/>
                <w:sz w:val="12"/>
              </w:rPr>
              <w:t>1</w:t>
            </w:r>
          </w:p>
        </w:tc>
      </w:tr>
      <w:tr>
        <w:trPr/>
        <w:tc>
          <w:tcPr>
            <w:tcW w:w="5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Second Quarter</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AND SHARE AMOUNTS 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 Net Income</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 related Intangible Assets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impact on Amortization of Acquisition related Intangible Assets (j)</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 related Intangible Assets, net of tax (k)</w:t>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 Net Income ex. Amortization</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assuming dilution (diluted)</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(Non-GAAP) EPS ex. Amortization</w:t>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related to severance as part of the IFF Productivity Program.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primarily represents costs related to the Company’s completed divestitures. These costs primarily consisted of external consulting fees, professional and legal fees and salaries of individuals who are fully dedicated to such efforts.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primarily represents losses recognized as part of final settlement adjustments related to the divestiture of the Nitrocellulose business in 2025. For 2025, primarily represents losses recognized as part of the sale of the Pharma Solutions disposal group, offset in part by gains recognized as part of the sale of the Nitrocellulose business.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For 2026, represents the losses recognized on assets classified as held for sale of the CitraSource business.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primarily related to legal fees incurred and provisions recognized for the ongoing investigations of the fragrance businesses.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gain recognized on the extinguishment of debt in connection with the completion of tender offers.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the Company implemented a phased restructuring initiative aimed at optimizing its legal entity framework. A one-time tax benefit was achieved as part of this restructuring which is partially offset by the execution costs to implement.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For 2025, represents the net impact of costs related to severance, including accelerated stock compensation expense, for certain executives who have separated from the Company.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w:t>
            </w:r>
          </w:p>
        </w:tc>
        <w:tc>
          <w:tcPr>
            <w:tcW w:w="9863"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The income tax effects of non-GAAP adjustments are calculated based on the applicable statutory tax rate for the relevant jurisdiction, except for those items which are non-taxable or subject to valuation allowances for which the tax expense (benefit) was calculated at 0%. The tax benefit for amortization is calculated in a similar manner as the tax effects of the non-GAAP adjustments.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w:t>
            </w:r>
          </w:p>
        </w:tc>
        <w:tc>
          <w:tcPr>
            <w:tcW w:w="9863"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all amortization of intangible assets acquired in connection with acquisitions, net of tax.</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12"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12"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12"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12"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12" w:type="dxa"/>
            <w:gridSpan w:val="4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GAAP to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six months ended June 30, 2026 and 2025, there was no difference between Reported (GAAP) and Adjusted (Non-GAAP) gross profit. </w:t>
      </w:r>
    </w:p>
    <w:p>
      <w:pPr>
        <w:pStyle w:val="TextBody"/>
        <w:bidi w:val="0"/>
        <w:spacing w:before="0" w:after="0"/>
        <w:jc w:val="center"/>
        <w:rPr/>
      </w:pPr>
      <w:r>
        <w:rPr/>
      </w:r>
    </w:p>
    <w:tbl>
      <w:tblPr>
        <w:tblW w:w="6488" w:type="dxa"/>
        <w:jc w:val="center"/>
        <w:tblInd w:w="0" w:type="dxa"/>
        <w:tblLayout w:type="fixed"/>
        <w:tblCellMar>
          <w:top w:w="28" w:type="dxa"/>
          <w:left w:w="28" w:type="dxa"/>
          <w:bottom w:w="28" w:type="dxa"/>
          <w:right w:w="28" w:type="dxa"/>
        </w:tblCellMar>
      </w:tblPr>
      <w:tblGrid>
        <w:gridCol w:w="862"/>
        <w:gridCol w:w="759"/>
        <w:gridCol w:w="764"/>
        <w:gridCol w:w="445"/>
        <w:gridCol w:w="984"/>
        <w:gridCol w:w="230"/>
        <w:gridCol w:w="230"/>
        <w:gridCol w:w="230"/>
        <w:gridCol w:w="230"/>
        <w:gridCol w:w="445"/>
        <w:gridCol w:w="984"/>
        <w:gridCol w:w="325"/>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4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Reconciliation of Selling and Administrative Expenses</w:t>
            </w:r>
            <w:r>
              <w:rPr>
                <w:rFonts w:ascii="Arial;sans-serif" w:hAnsi="Arial;sans-serif"/>
                <w:b/>
                <w:color w:val="000000"/>
                <w:sz w:val="12"/>
              </w:rPr>
              <w:t>1</w:t>
            </w:r>
          </w:p>
        </w:tc>
      </w:tr>
      <w:tr>
        <w:trPr/>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 Year-to-Date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IN MILLIONS)</w:t>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(GAAP)</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 (c)</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Initiatives Costs (f)</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 (g)</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 (i)</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(j)</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(Non-GAAP)</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GAAP to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tbl>
      <w:tblPr>
        <w:tblW w:w="10205" w:type="dxa"/>
        <w:jc w:val="center"/>
        <w:tblInd w:w="0" w:type="dxa"/>
        <w:tblLayout w:type="fixed"/>
        <w:tblCellMar>
          <w:top w:w="28" w:type="dxa"/>
          <w:left w:w="28" w:type="dxa"/>
          <w:bottom w:w="28" w:type="dxa"/>
          <w:right w:w="28" w:type="dxa"/>
        </w:tblCellMar>
      </w:tblPr>
      <w:tblGrid>
        <w:gridCol w:w="626"/>
        <w:gridCol w:w="316"/>
        <w:gridCol w:w="319"/>
        <w:gridCol w:w="199"/>
        <w:gridCol w:w="428"/>
        <w:gridCol w:w="110"/>
        <w:gridCol w:w="109"/>
        <w:gridCol w:w="109"/>
        <w:gridCol w:w="109"/>
        <w:gridCol w:w="258"/>
        <w:gridCol w:w="437"/>
        <w:gridCol w:w="145"/>
        <w:gridCol w:w="109"/>
        <w:gridCol w:w="109"/>
        <w:gridCol w:w="109"/>
        <w:gridCol w:w="256"/>
        <w:gridCol w:w="551"/>
        <w:gridCol w:w="144"/>
        <w:gridCol w:w="109"/>
        <w:gridCol w:w="109"/>
        <w:gridCol w:w="109"/>
        <w:gridCol w:w="196"/>
        <w:gridCol w:w="467"/>
        <w:gridCol w:w="109"/>
        <w:gridCol w:w="109"/>
        <w:gridCol w:w="109"/>
        <w:gridCol w:w="109"/>
        <w:gridCol w:w="199"/>
        <w:gridCol w:w="428"/>
        <w:gridCol w:w="110"/>
        <w:gridCol w:w="109"/>
        <w:gridCol w:w="109"/>
        <w:gridCol w:w="109"/>
        <w:gridCol w:w="252"/>
        <w:gridCol w:w="446"/>
        <w:gridCol w:w="140"/>
        <w:gridCol w:w="109"/>
        <w:gridCol w:w="109"/>
        <w:gridCol w:w="109"/>
        <w:gridCol w:w="256"/>
        <w:gridCol w:w="551"/>
        <w:gridCol w:w="144"/>
        <w:gridCol w:w="109"/>
        <w:gridCol w:w="109"/>
        <w:gridCol w:w="109"/>
        <w:gridCol w:w="196"/>
        <w:gridCol w:w="467"/>
        <w:gridCol w:w="166"/>
      </w:tblGrid>
      <w:tr>
        <w:trPr/>
        <w:tc>
          <w:tcPr>
            <w:tcW w:w="6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Reconciliation of Net Income (Loss) and EPS from Continuing Operations</w:t>
            </w:r>
            <w:r>
              <w:rPr>
                <w:rFonts w:ascii="Arial;sans-serif" w:hAnsi="Arial;sans-serif"/>
                <w:b/>
                <w:color w:val="000000"/>
                <w:sz w:val="12"/>
              </w:rPr>
              <w:t>1</w:t>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4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Second Quarter Year-to-Date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IN MILLIONS EXCEPT PER SHARE AMOUNTS)</w:t>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Provision (Benefit) for income taxes (k)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income attributable to IFF (l)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Provision (Benefit) for income taxes (k)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income attributable to IFF (l)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(GAAP)</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(a)</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 (b)</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 Costs (c)</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Business Disposals (d)</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Assets Classified as Held for Sale (e)</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Strategic Initiative Costs (f)</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Costs (g)</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debt extinguishment (h)</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Entity Realignment Costs (i)</w:t>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(j)</w:t>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498" w:type="dxa"/>
        <w:jc w:val="center"/>
        <w:tblInd w:w="0" w:type="dxa"/>
        <w:tblLayout w:type="fixed"/>
        <w:tblCellMar>
          <w:top w:w="28" w:type="dxa"/>
          <w:left w:w="28" w:type="dxa"/>
          <w:bottom w:w="28" w:type="dxa"/>
          <w:right w:w="28" w:type="dxa"/>
        </w:tblCellMar>
      </w:tblPr>
      <w:tblGrid>
        <w:gridCol w:w="1876"/>
        <w:gridCol w:w="1651"/>
        <w:gridCol w:w="1662"/>
        <w:gridCol w:w="441"/>
        <w:gridCol w:w="1050"/>
        <w:gridCol w:w="245"/>
        <w:gridCol w:w="245"/>
        <w:gridCol w:w="245"/>
        <w:gridCol w:w="245"/>
        <w:gridCol w:w="441"/>
        <w:gridCol w:w="1050"/>
        <w:gridCol w:w="347"/>
      </w:tblGrid>
      <w:tr>
        <w:trPr/>
        <w:tc>
          <w:tcPr>
            <w:tcW w:w="18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949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Reconciliation of Adjusted (Non-GAAP) EPS ex. Amortization</w:t>
            </w:r>
            <w:r>
              <w:rPr>
                <w:rFonts w:ascii="Arial;sans-serif" w:hAnsi="Arial;sans-serif"/>
                <w:b/>
                <w:color w:val="000000"/>
                <w:sz w:val="12"/>
              </w:rPr>
              <w:t>1</w:t>
            </w:r>
          </w:p>
        </w:tc>
      </w:tr>
      <w:tr>
        <w:trPr/>
        <w:tc>
          <w:tcPr>
            <w:tcW w:w="5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Second Quarter Year-to-Date</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(DOLLARS AND SHARE AMOUNTS IN MILLIONS)</w:t>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 Net Income</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 related Intangible Assets</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impact on Amortization of Acquisition related Intangible Assets (k)</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Acquisition related Intangible Assets, net of tax (m)</w:t>
            </w:r>
          </w:p>
        </w:tc>
        <w:tc>
          <w:tcPr>
            <w:tcW w:w="14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(Non-GAAP) Net Income ex. Amortization</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assuming dilution (diluted)</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(Non-GAAP) EPS ex. Amortization</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5"/>
        <w:gridCol w:w="110"/>
        <w:gridCol w:w="110"/>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31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related to severance as part of the IFF Productivity Program.</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impairment of goodwill related to the Food Ingredients reporting unit that is not included in the Food Ingredients or SCL disposal groups.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primarily represents costs related to the Company’s completed and anticipated divestitures. These costs primarily consisted of external consulting fees, professional and legal fees and salaries of individuals who are fully dedicated to such efforts.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primarily represents losses recognized as part of final settlement adjustments related to the divestiture of the Nitrocellulose business in 2025. For 2025, primarily represents losses recognized as part of the sale of the Pharma Solutions disposal group, offset in part by gains recognized as part of the sale of the Nitrocellulose business.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For 2026, represents the losses recognized on assets classified as held for sale of the CitraSource business.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2026 and 2025, represents costs primarily related to legal fees incurred and provisions recognized for the ongoing investigations of the fragrance businesses.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gain recognized on the extinguishment of debt in connection with the completion of the tender offers.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the Company implemented a phased restructuring initiative aimed at optimizing its legal entity framework. A one-time tax benefit was achieved as part of this restructuring which is partially offset by the execution costs to implement.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2025, represents the net impact of costs related to severance, including accelerated stock compensation expense, for certain executives who have separated from the Company.</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The income tax effects of non-GAAP adjustments are calculated based on the applicable statutory tax rate for the relevant jurisdiction, except for those items which are non-taxable or subject to valuation allowances for which the tax expense (benefit) was calculated at 0%. The tax benefit for amortization is calculated in a similar manner as the tax effects of the non-GAAP adjustments.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each of the six months ended June 30, 2026 and June 30, 2025, reported and adjusted net income from continuing operations are each decreased by income attributable to non-controlling interest from continuing operations of $1 million.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w:t>
            </w:r>
          </w:p>
        </w:tc>
        <w:tc>
          <w:tcPr>
            <w:tcW w:w="9860" w:type="dxa"/>
            <w:gridSpan w:val="4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all amortization of intangible assets acquired in connection with acquisitions, net of tax.</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09" w:type="dxa"/>
            <w:gridSpan w:val="42"/>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09" w:type="dxa"/>
            <w:gridSpan w:val="42"/>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09" w:type="dxa"/>
            <w:gridSpan w:val="42"/>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09" w:type="dxa"/>
            <w:gridSpan w:val="42"/>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209" w:type="dxa"/>
            <w:gridSpan w:val="4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Debt Covenants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tbl>
      <w:tblPr>
        <w:tblW w:w="6345" w:type="dxa"/>
        <w:jc w:val="left"/>
        <w:tblInd w:w="0" w:type="dxa"/>
        <w:tblLayout w:type="fixed"/>
        <w:tblCellMar>
          <w:top w:w="28" w:type="dxa"/>
          <w:left w:w="28" w:type="dxa"/>
          <w:bottom w:w="28" w:type="dxa"/>
          <w:right w:w="28" w:type="dxa"/>
        </w:tblCellMar>
      </w:tblPr>
      <w:tblGrid>
        <w:gridCol w:w="939"/>
        <w:gridCol w:w="820"/>
        <w:gridCol w:w="820"/>
        <w:gridCol w:w="807"/>
        <w:gridCol w:w="2361"/>
        <w:gridCol w:w="598"/>
      </w:tblGrid>
      <w:tr>
        <w:trPr/>
        <w:tc>
          <w:tcPr>
            <w:tcW w:w="9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6345" w:type="dxa"/>
            <w:gridSpan w:val="6"/>
            <w:tcBorders/>
            <w:tcMar>
              <w:top w:w="0" w:type="dxa"/>
              <w:left w:w="0" w:type="dxa"/>
              <w:bottom w:w="0" w:type="dxa"/>
              <w:right w:w="0" w:type="dxa"/>
            </w:tcMar>
            <w:vAlign w:val="center"/>
          </w:tcPr>
          <w:p>
            <w:pPr>
              <w:pStyle w:val="TableContents"/>
              <w:bidi w:val="0"/>
              <w:spacing w:lineRule="auto" w:line="240" w:before="120" w:after="283"/>
              <w:jc w:val="center"/>
              <w:rPr/>
            </w:pPr>
            <w:r>
              <w:rPr>
                <w:rFonts w:ascii="Arial;sans-serif" w:hAnsi="Arial;sans-serif"/>
                <w:b/>
                <w:color w:val="000000"/>
                <w:sz w:val="18"/>
              </w:rPr>
              <w:t>Reconciliation of Credit Adjusted EBITDA to Net Income</w:t>
            </w:r>
            <w:r>
              <w:rPr>
                <w:rFonts w:ascii="Arial;sans-serif" w:hAnsi="Arial;sans-serif"/>
                <w:b/>
                <w:color w:val="000000"/>
                <w:sz w:val="12"/>
              </w:rPr>
              <w:t>(1)</w:t>
            </w:r>
          </w:p>
        </w:tc>
      </w:tr>
      <w:tr>
        <w:trPr/>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(DOLLARS IN MILLIONS)</w:t>
            </w:r>
          </w:p>
        </w:tc>
        <w:tc>
          <w:tcPr>
            <w:tcW w:w="3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 June 30, 2026</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3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Specified items</w:t>
            </w:r>
            <w:r>
              <w:rPr>
                <w:rFonts w:ascii="Arial;sans-serif" w:hAnsi="Arial;sans-serif"/>
                <w:b w:val="false"/>
                <w:color w:val="000000"/>
                <w:sz w:val="12"/>
              </w:rPr>
              <w:t>(2)</w:t>
            </w:r>
          </w:p>
        </w:tc>
        <w:tc>
          <w:tcPr>
            <w:tcW w:w="3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items</w:t>
            </w:r>
            <w:r>
              <w:rPr>
                <w:rFonts w:ascii="Arial;sans-serif" w:hAnsi="Arial;sans-serif"/>
                <w:b w:val="false"/>
                <w:color w:val="000000"/>
                <w:sz w:val="12"/>
              </w:rPr>
              <w:t>(3)</w:t>
            </w:r>
          </w:p>
        </w:tc>
        <w:tc>
          <w:tcPr>
            <w:tcW w:w="3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Credit Adjusted EBITDA</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2,056 </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Arial;sans-serif" w:hAnsi="Arial;sans-serif"/>
          <w:b w:val="false"/>
          <w:color w:val="000000"/>
          <w:sz w:val="18"/>
        </w:rPr>
        <w:t>_______________________</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(1)Credit Adjusted EBITDA presented includes results from continuing and discontinued operations.</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(2)Specified items consisted of restructuring and other charges, impairment of goodwill, divestiture costs, strategic initiatives costs, regulatory costs, and other costs that are not related to recurring operations.</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(3)Non-cash items consisted of losses (gains) on sale of assets, losses (gains) on business disposals, loss on assets classified as held for sale, and stock-based compensation.</w:t>
      </w:r>
    </w:p>
    <w:tbl>
      <w:tblPr>
        <w:tblW w:w="4946" w:type="dxa"/>
        <w:jc w:val="left"/>
        <w:tblInd w:w="0" w:type="dxa"/>
        <w:tblLayout w:type="fixed"/>
        <w:tblCellMar>
          <w:top w:w="28" w:type="dxa"/>
          <w:left w:w="28" w:type="dxa"/>
          <w:bottom w:w="28" w:type="dxa"/>
          <w:right w:w="28" w:type="dxa"/>
        </w:tblCellMar>
      </w:tblPr>
      <w:tblGrid>
        <w:gridCol w:w="849"/>
        <w:gridCol w:w="743"/>
        <w:gridCol w:w="747"/>
        <w:gridCol w:w="559"/>
        <w:gridCol w:w="1634"/>
        <w:gridCol w:w="414"/>
      </w:tblGrid>
      <w:tr>
        <w:trPr/>
        <w:tc>
          <w:tcPr>
            <w:tcW w:w="84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9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Net Debt to Total Debt</w:t>
            </w:r>
          </w:p>
        </w:tc>
      </w:tr>
      <w:tr>
        <w:trPr/>
        <w:tc>
          <w:tcPr>
            <w:tcW w:w="2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(DOLLARS IN MILLIONS)</w:t>
            </w:r>
          </w:p>
        </w:tc>
        <w:tc>
          <w:tcPr>
            <w:tcW w:w="2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debt</w:t>
            </w:r>
            <w:r>
              <w:rPr>
                <w:rFonts w:ascii="Arial;sans-serif" w:hAnsi="Arial;sans-serif"/>
                <w:b w:val="false"/>
                <w:color w:val="000000"/>
                <w:sz w:val="12"/>
              </w:rPr>
              <w:t>(1)</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5,166 </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color w:val="000000"/>
        </w:rPr>
      </w:pPr>
      <w:r>
        <w:rPr>
          <w:color w:val="000000"/>
        </w:rPr>
        <w:t> </w:t>
      </w:r>
      <w:r>
        <w:rPr>
          <w:rFonts w:ascii="Arial;sans-serif" w:hAnsi="Arial;sans-serif"/>
          <w:b w:val="false"/>
          <w:color w:val="000000"/>
          <w:sz w:val="18"/>
        </w:rPr>
        <w:t>_______________________</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(1)Total debt used for the calculation of net debt consisted of short-term debt, long-term debt, short-term finance lease obligations and long-term finance lease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Comparable Currency Neutral Segment Performance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(Amounts in millions)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20" w:after="60"/>
        <w:jc w:val="center"/>
        <w:rPr>
          <w:rFonts w:ascii="Arial;sans-serif" w:hAnsi="Arial;sans-serif"/>
          <w:b w:val="false"/>
          <w:color w:val="000000"/>
          <w:sz w:val="18"/>
        </w:rPr>
      </w:pPr>
      <w:r>
        <w:rPr>
          <w:rFonts w:ascii="Arial;sans-serif" w:hAnsi="Arial;sans-serif"/>
          <w:b w:val="false"/>
          <w:color w:val="000000"/>
          <w:sz w:val="18"/>
        </w:rPr>
        <w:t>The following information and schedule provides reconciliation information between reported GAAP amounts and non-GAAP certain adjusted amounts. This information and schedule is not intended as, and should not be viewed as, a substitute for reported GAAP amounts or financial statements of the Company prepared and presented in accordance with GAAP.</w:t>
      </w:r>
    </w:p>
    <w:tbl>
      <w:tblPr>
        <w:tblW w:w="9598" w:type="dxa"/>
        <w:jc w:val="center"/>
        <w:tblInd w:w="0" w:type="dxa"/>
        <w:tblLayout w:type="fixed"/>
        <w:tblCellMar>
          <w:top w:w="28" w:type="dxa"/>
          <w:left w:w="28" w:type="dxa"/>
          <w:bottom w:w="28" w:type="dxa"/>
          <w:right w:w="28" w:type="dxa"/>
        </w:tblCellMar>
      </w:tblPr>
      <w:tblGrid>
        <w:gridCol w:w="1536"/>
        <w:gridCol w:w="1264"/>
        <w:gridCol w:w="1280"/>
        <w:gridCol w:w="219"/>
        <w:gridCol w:w="641"/>
        <w:gridCol w:w="282"/>
        <w:gridCol w:w="113"/>
        <w:gridCol w:w="113"/>
        <w:gridCol w:w="113"/>
        <w:gridCol w:w="219"/>
        <w:gridCol w:w="641"/>
        <w:gridCol w:w="282"/>
        <w:gridCol w:w="109"/>
        <w:gridCol w:w="109"/>
        <w:gridCol w:w="109"/>
        <w:gridCol w:w="211"/>
        <w:gridCol w:w="616"/>
        <w:gridCol w:w="271"/>
        <w:gridCol w:w="109"/>
        <w:gridCol w:w="109"/>
        <w:gridCol w:w="109"/>
        <w:gridCol w:w="211"/>
        <w:gridCol w:w="616"/>
        <w:gridCol w:w="316"/>
      </w:tblGrid>
      <w:tr>
        <w:trPr/>
        <w:tc>
          <w:tcPr>
            <w:tcW w:w="15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Sales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Taste</w:t>
            </w:r>
            <w:r>
              <w:rPr>
                <w:rFonts w:ascii="Arial;sans-serif" w:hAnsi="Arial;sans-serif"/>
                <w:b w:val="false"/>
                <w:color w:val="000000"/>
                <w:sz w:val="12"/>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Pharma Solutions</w:t>
            </w:r>
            <w:r>
              <w:rPr>
                <w:rFonts w:ascii="Arial;sans-serif" w:hAnsi="Arial;sans-serif"/>
                <w:b w:val="false"/>
                <w:color w:val="000000"/>
                <w:sz w:val="12"/>
              </w:rPr>
              <w:t>(2)</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Segment Adjusted Operating EBITDA</w:t>
            </w:r>
            <w:r>
              <w:rPr>
                <w:rFonts w:ascii="Arial;sans-serif" w:hAnsi="Arial;sans-serif"/>
                <w:b/>
                <w:color w:val="000000"/>
                <w:sz w:val="12"/>
              </w:rPr>
              <w:t>(5)</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Taste</w:t>
            </w:r>
            <w:r>
              <w:rPr>
                <w:rFonts w:ascii="Arial;sans-serif" w:hAnsi="Arial;sans-serif"/>
                <w:b w:val="false"/>
                <w:color w:val="000000"/>
                <w:sz w:val="12"/>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Pharma Solutions</w:t>
            </w:r>
            <w:r>
              <w:rPr>
                <w:rFonts w:ascii="Arial;sans-serif" w:hAnsi="Arial;sans-serif"/>
                <w:b w:val="false"/>
                <w:color w:val="000000"/>
                <w:sz w:val="12"/>
              </w:rPr>
              <w:t>(2)</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on Business Disposals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Assets Classified as Held for Sale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Initiative Costs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Debt Extinguishment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Entity Realignment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Impact of Currency Fluctuations</w:t>
            </w:r>
            <w:r>
              <w:rPr>
                <w:rFonts w:ascii="Arial;sans-serif" w:hAnsi="Arial;sans-serif"/>
                <w:b w:val="false"/>
                <w:color w:val="000000"/>
                <w:sz w:val="12"/>
              </w:rPr>
              <w:t>(3)</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Impact of Business Divestitures</w:t>
            </w:r>
            <w:r>
              <w:rPr>
                <w:rFonts w:ascii="Arial;sans-serif" w:hAnsi="Arial;sans-serif"/>
                <w:b w:val="false"/>
                <w:color w:val="000000"/>
                <w:sz w:val="12"/>
              </w:rPr>
              <w:t>(4)</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taxes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Segment Adjusted Operating EBITDA Margin</w:t>
            </w:r>
            <w:r>
              <w:rPr>
                <w:rFonts w:ascii="Arial;sans-serif" w:hAnsi="Arial;sans-serif"/>
                <w:b/>
                <w:color w:val="000000"/>
                <w:sz w:val="12"/>
              </w:rPr>
              <w:t>(4)</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(1)Taste sales and segment adjusted operating EBITDA information exclude the results of the Rene Laurent business that was divested on December 1, 2025, to present fully comparable scenarios.</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(2)Pharma sales and segment adjusted operating EBITDA information exclude the results of the Pharma Solutions disposal group and Nitrocellulose business that were divested on May 1, 2025 and May 9, 2025, respectively, to present fully comparable scenarios.</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(3)Currency neutral sales are calculated by translating current year invoiced sale amounts at the exchange rates for the corresponding prior 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(4)Amounts exclude the results of the Rene Laurent business that was divested on December 1, 2025 and the Pharma Solutions disposal group and Nitrocellulose business that were divested on May 1, 2025 and May 9, 2025, respectively, to present fully comparable scenarios.</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(5)Following the completed divestitures of the Pharma Solutions disposal group on May 1, 2025 and the Nitrocellulose business on May 9, 2025, the Company reallocated certain corporate costs previously attributed to the Pharma Solutions segment. These costs have been redistributed across the Taste, Health &amp; Biosciences, and Scent segments to align with the updated 2025 operating model.</w:t>
      </w:r>
    </w:p>
    <w:p>
      <w:pPr>
        <w:pStyle w:val="TextBody"/>
        <w:bidi w:val="0"/>
        <w:spacing w:before="60" w:after="283"/>
        <w:ind w:left="0" w:right="0" w:hanging="90"/>
        <w:jc w:val="both"/>
        <w:rPr/>
      </w:pPr>
      <w:r>
        <w:rPr/>
      </w:r>
    </w:p>
    <w:tbl>
      <w:tblPr>
        <w:tblW w:w="7550" w:type="dxa"/>
        <w:jc w:val="left"/>
        <w:tblInd w:w="0" w:type="dxa"/>
        <w:tblLayout w:type="fixed"/>
        <w:tblCellMar>
          <w:top w:w="28" w:type="dxa"/>
          <w:left w:w="28" w:type="dxa"/>
          <w:bottom w:w="28" w:type="dxa"/>
          <w:right w:w="28" w:type="dxa"/>
        </w:tblCellMar>
      </w:tblPr>
      <w:tblGrid>
        <w:gridCol w:w="673"/>
        <w:gridCol w:w="589"/>
        <w:gridCol w:w="597"/>
        <w:gridCol w:w="109"/>
        <w:gridCol w:w="109"/>
        <w:gridCol w:w="109"/>
        <w:gridCol w:w="1060"/>
        <w:gridCol w:w="1285"/>
        <w:gridCol w:w="550"/>
        <w:gridCol w:w="213"/>
        <w:gridCol w:w="213"/>
        <w:gridCol w:w="213"/>
        <w:gridCol w:w="554"/>
        <w:gridCol w:w="871"/>
        <w:gridCol w:w="405"/>
      </w:tblGrid>
      <w:tr>
        <w:trPr/>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Total EBITDA Impact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both"/>
        <w:rPr/>
      </w:pPr>
      <w:r>
        <w:rPr/>
      </w:r>
    </w:p>
    <w:tbl>
      <w:tblPr>
        <w:tblW w:w="8135" w:type="dxa"/>
        <w:jc w:val="left"/>
        <w:tblInd w:w="0" w:type="dxa"/>
        <w:tblLayout w:type="fixed"/>
        <w:tblCellMar>
          <w:top w:w="28" w:type="dxa"/>
          <w:left w:w="28" w:type="dxa"/>
          <w:bottom w:w="28" w:type="dxa"/>
          <w:right w:w="28" w:type="dxa"/>
        </w:tblCellMar>
      </w:tblPr>
      <w:tblGrid>
        <w:gridCol w:w="673"/>
        <w:gridCol w:w="589"/>
        <w:gridCol w:w="597"/>
        <w:gridCol w:w="109"/>
        <w:gridCol w:w="109"/>
        <w:gridCol w:w="109"/>
        <w:gridCol w:w="897"/>
        <w:gridCol w:w="1535"/>
        <w:gridCol w:w="462"/>
        <w:gridCol w:w="279"/>
        <w:gridCol w:w="279"/>
        <w:gridCol w:w="279"/>
        <w:gridCol w:w="279"/>
        <w:gridCol w:w="109"/>
        <w:gridCol w:w="482"/>
        <w:gridCol w:w="996"/>
        <w:gridCol w:w="352"/>
      </w:tblGrid>
      <w:tr>
        <w:trPr/>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939" w:type="dxa"/>
            <w:gridSpan w:val="4"/>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Selling &amp; Administrative Expenses</w:t>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Total EBITDA Impact</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&amp; Biosciences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GAAP to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Comparable Foreign Exchange Impact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1"/>
        <w:gridCol w:w="736"/>
        <w:gridCol w:w="746"/>
        <w:gridCol w:w="109"/>
        <w:gridCol w:w="109"/>
        <w:gridCol w:w="109"/>
        <w:gridCol w:w="195"/>
        <w:gridCol w:w="195"/>
        <w:gridCol w:w="196"/>
        <w:gridCol w:w="109"/>
        <w:gridCol w:w="109"/>
        <w:gridCol w:w="109"/>
        <w:gridCol w:w="949"/>
        <w:gridCol w:w="949"/>
        <w:gridCol w:w="952"/>
        <w:gridCol w:w="109"/>
        <w:gridCol w:w="109"/>
        <w:gridCol w:w="109"/>
        <w:gridCol w:w="998"/>
        <w:gridCol w:w="998"/>
        <w:gridCol w:w="1419"/>
      </w:tblGrid>
      <w:tr>
        <w:trPr/>
        <w:tc>
          <w:tcPr>
            <w:tcW w:w="8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Q2 Taste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Q2 Health &amp; Biosciences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Q2 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Q2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w:t>
            </w:r>
          </w:p>
        </w:tc>
      </w:tr>
    </w:tbl>
    <w:p>
      <w:pPr>
        <w:pStyle w:val="TextBody"/>
        <w:bidi w:val="0"/>
        <w:spacing w:lineRule="auto" w:line="288" w:before="0" w:after="0"/>
        <w:jc w:val="both"/>
        <w:rPr>
          <w:color w:val="000000"/>
        </w:rPr>
      </w:pPr>
      <w:r>
        <w:rPr>
          <w:color w:val="000000"/>
        </w:rPr>
        <w:t> </w:t>
      </w:r>
      <w:r>
        <w:rPr>
          <w:rFonts w:ascii="Arial;sans-serif" w:hAnsi="Arial;sans-serif"/>
          <w:b w:val="false"/>
          <w:color w:val="000000"/>
          <w:sz w:val="18"/>
        </w:rPr>
        <w:t>_______________________</w:t>
      </w:r>
    </w:p>
    <w:p>
      <w:pPr>
        <w:pStyle w:val="TextBody"/>
        <w:bidi w:val="0"/>
        <w:spacing w:lineRule="auto" w:line="288" w:before="60" w:after="283"/>
        <w:ind w:left="0" w:right="0" w:hanging="90"/>
        <w:jc w:val="both"/>
        <w:rPr>
          <w:rFonts w:ascii="Arial;sans-serif" w:hAnsi="Arial;sans-serif"/>
          <w:b w:val="false"/>
          <w:color w:val="000000"/>
          <w:sz w:val="18"/>
        </w:rPr>
      </w:pPr>
      <w:r>
        <w:rPr>
          <w:rFonts w:ascii="Arial;sans-serif" w:hAnsi="Arial;sans-serif"/>
          <w:b w:val="false"/>
          <w:color w:val="000000"/>
          <w:sz w:val="18"/>
        </w:rPr>
        <w:t>Note: The sum of these items may not foot due to rounding.</w:t>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International Flavors &amp; Fragrances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GAAP to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Comparable Foreign Exchange Impact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1"/>
        <w:gridCol w:w="736"/>
        <w:gridCol w:w="746"/>
        <w:gridCol w:w="109"/>
        <w:gridCol w:w="109"/>
        <w:gridCol w:w="109"/>
        <w:gridCol w:w="195"/>
        <w:gridCol w:w="195"/>
        <w:gridCol w:w="196"/>
        <w:gridCol w:w="109"/>
        <w:gridCol w:w="109"/>
        <w:gridCol w:w="109"/>
        <w:gridCol w:w="949"/>
        <w:gridCol w:w="949"/>
        <w:gridCol w:w="952"/>
        <w:gridCol w:w="109"/>
        <w:gridCol w:w="109"/>
        <w:gridCol w:w="109"/>
        <w:gridCol w:w="998"/>
        <w:gridCol w:w="998"/>
        <w:gridCol w:w="1419"/>
      </w:tblGrid>
      <w:tr>
        <w:trPr/>
        <w:tc>
          <w:tcPr>
            <w:tcW w:w="8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YTD Taste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YTD Health &amp; Biosciences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YTD 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Segment 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5"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YTD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Operating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Operating EBITDA Margin</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Comparable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Change - Currency Neutral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w:t>
            </w:r>
          </w:p>
        </w:tc>
      </w:tr>
    </w:tbl>
    <w:p>
      <w:pPr>
        <w:pStyle w:val="TextBody"/>
        <w:bidi w:val="0"/>
        <w:spacing w:lineRule="auto" w:line="288" w:before="0" w:after="0"/>
        <w:jc w:val="both"/>
        <w:rPr>
          <w:color w:val="000000"/>
        </w:rPr>
      </w:pPr>
      <w:r>
        <w:rPr>
          <w:color w:val="000000"/>
        </w:rPr>
        <w:t> </w:t>
      </w:r>
      <w:r>
        <w:rPr>
          <w:rFonts w:ascii="Arial;sans-serif" w:hAnsi="Arial;sans-serif"/>
          <w:b w:val="false"/>
          <w:color w:val="000000"/>
          <w:sz w:val="18"/>
        </w:rPr>
        <w:t>_______________________</w:t>
      </w:r>
    </w:p>
    <w:p>
      <w:pPr>
        <w:pStyle w:val="TextBody"/>
        <w:bidi w:val="0"/>
        <w:spacing w:lineRule="auto" w:line="288" w:before="60" w:after="283"/>
        <w:ind w:left="0" w:right="0" w:hanging="90"/>
        <w:jc w:val="both"/>
        <w:rPr>
          <w:rFonts w:ascii="Arial;sans-serif" w:hAnsi="Arial;sans-serif"/>
          <w:b w:val="false"/>
          <w:color w:val="000000"/>
          <w:sz w:val="18"/>
        </w:rPr>
      </w:pPr>
      <w:r>
        <w:rPr>
          <w:rFonts w:ascii="Arial;sans-serif" w:hAnsi="Arial;sans-serif"/>
          <w:b w:val="false"/>
          <w:color w:val="000000"/>
          <w:sz w:val="18"/>
        </w:rPr>
        <w:t>Note: The sum of these items may not foot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9372</Words>
  <Characters>51825</Characters>
  <CharactersWithSpaces>59797</CharactersWithSpaces>
  <Paragraphs>2166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