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233" w:lineRule="exact"/>
        <w:rPr>
          <w:sz w:val="24"/>
          <w:szCs w:val="24"/>
          <w:color w:val="auto"/>
        </w:rPr>
      </w:pPr>
    </w:p>
    <w:p>
      <w:pPr>
        <w:ind w:left="11180"/>
        <w:spacing w:after="0" w:line="16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ind w:left="40"/>
        <w:spacing w:after="0" w:line="207" w:lineRule="exact"/>
        <w:tabs>
          <w:tab w:leader="none" w:pos="2320" w:val="left"/>
          <w:tab w:leader="none" w:pos="84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192" w:lineRule="exact"/>
        <w:rPr>
          <w:sz w:val="24"/>
          <w:szCs w:val="24"/>
          <w:color w:val="auto"/>
        </w:rPr>
      </w:pPr>
    </w:p>
    <w:p>
      <w:pPr>
        <w:ind w:left="2340"/>
        <w:spacing w:after="0" w:line="161" w:lineRule="exact"/>
        <w:tabs>
          <w:tab w:leader="none" w:pos="111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11" w:lineRule="exact"/>
        <w:rPr>
          <w:sz w:val="24"/>
          <w:szCs w:val="24"/>
          <w:color w:val="auto"/>
        </w:rPr>
      </w:pPr>
    </w:p>
    <w:p>
      <w:pPr>
        <w:ind w:left="40"/>
        <w:spacing w:after="0"/>
        <w:tabs>
          <w:tab w:leader="none" w:pos="84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166" w:lineRule="exact"/>
        <w:rPr>
          <w:sz w:val="24"/>
          <w:szCs w:val="24"/>
          <w:color w:val="auto"/>
        </w:rPr>
      </w:pPr>
    </w:p>
    <w:p>
      <w:pPr>
        <w:ind w:right="20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July 28, 2015: 80,585,508</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2015</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478,573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$8,128 and $9,147, respectively)</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566,414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493,768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275,161</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17,705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274,625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275,863</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561,715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568,729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201,948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141,248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1,710,027</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1,778,469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1,766,746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(1,063,660)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(1,046,478)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714,809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720,268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752,726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156,248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76,557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183,047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132,144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129,238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3,653,628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8,793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229,866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47,664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71,264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187,472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171,620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518,808</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989,196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934,232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Retirement liabilities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353,914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354,333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118,024</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1,503,433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1,453,124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Common stock 12 1/2¢ par value; authorized 500,000,000 shares; issued 115,858,190 shares as of June 30,</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2015 and December 31, 2014 and outstanding 80,725,633 and 80,777,590 shares as of June 30, 2015 and</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2014</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133,051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140,008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3,508,347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3,350,734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(556,248)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(540,430)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Treasury stock, at cost - 35,132,557 shares as of June 30, 2015 and 35,080,600 shares as of December 31,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2014</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(1,476,620)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(1,446,221)</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1,623,000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1,518,561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1,626,674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1,522,689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3,653,628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3,494,621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90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908" w:gutter="0" w:footer="0" w:header="0"/>
          <w:type w:val="continuous"/>
        </w:sectPr>
      </w:pPr>
    </w:p>
    <w:bookmarkStart w:id="2" w:name="page3"/>
    <w:bookmarkEnd w:id="2"/>
    <w:p>
      <w:pPr>
        <w:jc w:val="center"/>
        <w:ind w:left="1260" w:right="2020"/>
        <w:spacing w:after="0" w:line="261" w:lineRule="auto"/>
        <w:rPr>
          <w:sz w:val="20"/>
          <w:szCs w:val="20"/>
          <w:color w:val="auto"/>
        </w:rPr>
      </w:pPr>
      <w:r>
        <w:rPr>
          <w:rFonts w:ascii="Arial" w:cs="Arial" w:eastAsia="Arial" w:hAnsi="Arial"/>
          <w:sz w:val="18"/>
          <w:szCs w:val="18"/>
          <w:b w:val="1"/>
          <w:bCs w:val="1"/>
          <w:color w:val="auto"/>
        </w:rPr>
        <w:t xml:space="preserve">INTERNATIONAL FLAVORS &amp; FRAGRANCES INC. CONSOLIDATED STATEMENT OF COMPREHENSIVE INCOME </w:t>
      </w:r>
      <w:r>
        <w:rPr>
          <w:rFonts w:ascii="Arial" w:cs="Arial" w:eastAsia="Arial" w:hAnsi="Arial"/>
          <w:sz w:val="18"/>
          <w:szCs w:val="18"/>
          <w:color w:val="auto"/>
        </w:rPr>
        <w:t>(AMOUNT IN THOUSANDS EXCEPT PER SHARE AMOUNTS) (Unaudited)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767,541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788,414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1,542,448</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1,558,638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422,501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435,767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851,131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864,579</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345,040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691,317</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694,059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62,514</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66,431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125,976</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127,934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134,063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132,919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254,898</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256,653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Restructuring and other charges,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148,821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153,115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310,613</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309,168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11,407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22,502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23,080</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136,978</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146,353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293,386</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289,286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31,604</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36,068</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59,754</w:t>
            </w: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72,294</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105,374</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110,285</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233,632</w:t>
            </w: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216,992</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17,557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7,570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(32,958)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6,117</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w:t>
            </w: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5,476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11,023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8,765</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17,067</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13,568</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8,997</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122,441</w:t>
            </w:r>
          </w:p>
        </w:tc>
        <w:tc>
          <w:tcPr>
            <w:tcW w:w="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123,853</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217,814</w:t>
            </w:r>
          </w:p>
        </w:tc>
        <w:tc>
          <w:tcPr>
            <w:tcW w:w="3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225,989</w:t>
            </w:r>
          </w:p>
        </w:tc>
      </w:tr>
      <w:tr>
        <w:trPr>
          <w:trHeight w:val="67"/>
        </w:trPr>
        <w:tc>
          <w:tcPr>
            <w:tcW w:w="4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80,790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80,949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80,729</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81,003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81,192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81,430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81,201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81,583</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r>
      <w:tr>
        <w:trPr>
          <w:trHeight w:val="27"/>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240" w:top="580" w:right="1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233,632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216,992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41,041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49,131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Loss (gain) on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(50,236)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(54,970)</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166,318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154,030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w w:val="96"/>
              </w:rPr>
              <w:t>Cash paid for acquisition, net of cash received (including $15 million of contingent consideration</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related to the Aromor acquisition in 2014)</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(188,835)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(143,392)</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debt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or drawdown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(34,103)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(78,652)</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478,573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377,254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326,853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23,827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23,709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46,071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45,484</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2014 Annual Report on Form 10-K (“2014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2015 and 2014 quarters, the actual closing dates were July 3, and June 27,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to conform with current year presentation.</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July 2015, the Financial Accounting Standards Board ("FASB") issued authoritative guidance relating to the measurement of inventory costs, which more closely aligns the measurement of inventory in Generally Accepted Accounting Principles with the measurement of inventory in International Financial Reporting Standards. This guidance is effective for years beginning after December 15, 2016, including interim periods within those fiscal years. The Company is currently evaluating the impact that this new standard will have on its consolidated financial statements.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April 2015, the FASB issued authoritative guidance which provides a practical expedient related to the measurement date of defined benefit plan assets and obligations. This guidance is effective for annual and interim periods beginning after December 15, 2015. The Company does not expect that the adoption of this guidance will have a significant impact on its consolidated financial statements.</w:t>
      </w:r>
    </w:p>
    <w:p>
      <w:pPr>
        <w:spacing w:after="0" w:line="12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has determined that the adoption of this guidance will not have a significant impact on its consolidated financial statements.</w:t>
      </w:r>
    </w:p>
    <w:p>
      <w:pPr>
        <w:spacing w:after="0" w:line="13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February 2015, the FASB issued authoritative guidance related to accounting for consolidation of certain legal entities. The guidance will change the analysis that a reporting entity must perform to determine the criteria for consolidating certain types of entities. This guidance is effective for annual and interim periods beginning after December 15, 2015. The Company does not expect that the adoption of this guidance will have a significant impact on its consolidated financial statements.</w:t>
      </w:r>
    </w:p>
    <w:p>
      <w:pPr>
        <w:spacing w:after="0" w:line="13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and, in July 2015, delayed the effective adoption date of that guidance by one year. The guidance is applicable to all entities and, based on the revised adoption date,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from operations from participating in these programs increased approximately $1.3 million for the six months ended June 30, 2015 compared to an increase of approximately $22.3 million for the six months ended June 30, 2014.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58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22"/>
                <w:szCs w:val="22"/>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80,790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80,949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80,729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81,003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9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580</w:t>
            </w:r>
          </w:p>
        </w:tc>
      </w:tr>
      <w:tr>
        <w:trPr>
          <w:trHeight w:val="27"/>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81,192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81,430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81,201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81,583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six months ended June 30, 2015 and 2014.</w:t>
      </w:r>
    </w:p>
    <w:p>
      <w:pPr>
        <w:spacing w:after="0" w:line="116"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has issued shares of purchased restricted common stock (“PRS”)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June 30, 2015 and 2014 was immaterial. Net income allocated to such PRS was $0.5 million and $0.7 million during the three months ended June 30, 2015 and 2014, respectively and $1.1 million and $1.4 million during the six months ended June 30, 2015 and 2014,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During the second quarter of 2015, the Company completed the acquisition of 100% of the outstanding shares of Henry H. Ottens Manufacturing Co., Inc. ("Ottens Flavors"). Ottens Flavors was acquired in order to strengthen the IFF Flavors business in North America. The Company paid approximately $199.2 million (including approximately $10.4 million of cash acquired) for this acquisition, which was funded from existing resources. The purchase price exceeded the fair value of existing net assets by approximately $162 million. The excess was allocated principally to identifiable intangible assets (approximately $85 million) and goodwill (approximately $77 million). Separately identifiable intangible assets are principally related to customer relationships and proprietary flavors technology. The intangible assets are being amortized using lives ranging from 5-17 years. The purchase price allocation is preliminary pending final valuations and is expected to be completed by the third quarter of 2015, with the assignment of final values and applicable useful lives of intangible assets. No pro forma financial information for 2015 is presented as the impact of the acquisition is immaterial.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On July 30, 2015, the Company completed the acquisition of 100% of the outstanding shares of Lucas Meyer Cosmetics, a business of Unipex Group, ("Lucas Meyer") for approximately Euro 283 million ($311 million). (The total shares acquired include shares effectively acquired pursuant to put and call option agreements). The purchase price was funded from existing resources. Lucas Meyer was acquired in order to strengthen and expand our product portfolio. This acquisition will be accounted for as a business combination and is not expected to have a material impact on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Aromor</w:t>
      </w:r>
    </w:p>
    <w:p>
      <w:pPr>
        <w:spacing w:after="0" w:line="90"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During the first quarter of 2014, the Company completed the acquisition of 100% of the equity of Aromor Flavors and Fragrances Ltd. ("Aromor"). Aromor is part of the IFF Fragrances Ingredients business. The Company paid $102.6 million (including $0.1 million of cash acquired) for this acquisition, which was funded out of existing cash resources. The purchase 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being amortized using lives ranging from 13-19 years. Additionally, the consideration included $15 million related to post-combination contingent consideration, held in escrow, which is being expensed by the Company as it is earned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94"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2014, the Company closed its fragrance ingredients manufacturing facility in Augusta, Georgia and consolidated production into other Company facilities. In connection with this closure, during 2014, the Company recorded total charges of $13.8 million, consisting of $2.2 million related to severance, $10.3 million related to accelerated depreciation, and $1.3 million in plant shutdown and other related costs. During the six months ended June 30, 2015, the Company recorded a net credit of $0.2 million principally related to the reversal of severance accruals.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employee-related restructuring liabilities during the six months ended June 30, 2015, were as follows:</w:t>
      </w:r>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Employee-Related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 costs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Note 5. Other Intangible Assets, Net:</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420"/>
              <w:spacing w:after="0"/>
              <w:rPr>
                <w:sz w:val="20"/>
                <w:szCs w:val="20"/>
                <w:color w:val="auto"/>
              </w:rPr>
            </w:pPr>
            <w:r>
              <w:rPr>
                <w:rFonts w:ascii="Arial" w:cs="Arial" w:eastAsia="Arial" w:hAnsi="Arial"/>
                <w:sz w:val="18"/>
                <w:szCs w:val="18"/>
                <w:color w:val="auto"/>
                <w:w w:val="94"/>
              </w:rPr>
              <w:t>Other intangible assets, net consist of the following amounts: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218,676</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76,557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patents, trademarks, technological know-how and other intellectual property, valued at acquisition.</w:t>
      </w:r>
    </w:p>
    <w:p>
      <w:pPr>
        <w:spacing w:after="0" w:line="148" w:lineRule="exact"/>
        <w:rPr>
          <w:sz w:val="20"/>
          <w:szCs w:val="20"/>
          <w:color w:val="auto"/>
        </w:rPr>
      </w:pPr>
    </w:p>
    <w:p>
      <w:pPr>
        <w:ind w:right="1380"/>
        <w:spacing w:after="0" w:line="438" w:lineRule="auto"/>
        <w:rPr>
          <w:sz w:val="20"/>
          <w:szCs w:val="20"/>
          <w:color w:val="auto"/>
        </w:rPr>
      </w:pPr>
      <w:r>
        <w:rPr>
          <w:rFonts w:ascii="Arial" w:cs="Arial" w:eastAsia="Arial" w:hAnsi="Arial"/>
          <w:sz w:val="18"/>
          <w:szCs w:val="18"/>
          <w:color w:val="auto"/>
        </w:rPr>
        <w:t xml:space="preserve">The increase in intangible assets for the six months ended June 30, 2015 relates to the acquisition of Ottens Flavors, as discussed in Note 3. </w:t>
      </w:r>
      <w:r>
        <w:rPr>
          <w:rFonts w:ascii="Arial" w:cs="Arial" w:eastAsia="Arial" w:hAnsi="Arial"/>
          <w:sz w:val="18"/>
          <w:szCs w:val="18"/>
          <w:i w:val="1"/>
          <w:iCs w:val="1"/>
          <w:color w:val="auto"/>
        </w:rPr>
        <w:t>Amortization</w:t>
      </w:r>
    </w:p>
    <w:p>
      <w:pPr>
        <w:spacing w:after="0" w:line="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Amortization expense was $3.0 million and $2.8 million for the three months ended June 30, 2015 and 2014, respectively and $4.9 million and $3.9 million for the six months ended June 30, 2015 and 2014, respectively. Annual amortization is expected to be $14.5 million for the full year 2015, $14.2 million for the years 2016 through 2018, and $13.5 million for the years 2019 through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34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 - 2006</w:t>
            </w: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299,782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942,322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934,232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At June 30, 2015, the Company had $15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2015, the Company had accrued interest and penalties of $0.7 million classified in Other liabilities.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2015, the Company’s aggregate provisions for uncertain tax positions, including interest and penalties, was $15.7 million associated with various tax positions asserted in foreign jurisdictions, none of which is individually material.</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open tax years with various taxing jurisdictions that range primarily from 2005 to 2014.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capital tax,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Spanish Tax</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December 31, 2014, the Company had one outstanding income tax case in Spain relating to fiscal year 2002, which had been previously appealed by the Company. As of December 31, 2014, the Company had fully reserved the original assessment asserted by the Spanish Tax Authority. During the first quarter of 2015, the Company received a favorable ruling on this appeal and accordingly, reversed the total reserve related to the 2002 fiscal year (with a value of Euro 1.9 million or $2.3 million).</w:t>
      </w:r>
    </w:p>
    <w:p>
      <w:pPr>
        <w:spacing w:after="0" w:line="13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June 30, 2015, the three dividend withholding tax controversies in Spain have now been resolved. The Company made total payments of Euro 4.5 million ($4.9 million) during the second quarter of 2015 related to the resolution of these three controversies.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effective tax rate for the three months ended June 30, 2015 was 23.1% compared with 24.6% for the three months ended June 30, 2014. The quarter-over-quarter decrease is largely due to higher earnings from lower tax jurisdictions, lower loss provisions and lower expected repatriation costs in 2015. The effective tax rate for the six months ended June 30, 2015 was 20.4% compared with 25.0% for the six months ended June 30, 2014. The year-over-year decrease is primarily due to a benefit of $10.5 million recorded in the first quarter of 2015, as a result of favorable tax rulings in Spain and another jurisdiction for which reserves were previously recorded.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 restricted stock units (“RSUs”), stock options, SSARs and Long-Term Incentive Plan awards; liability-based awards outstanding under the plans are cash-settled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823" w:right="27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2,764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On May 6, 2015, the shareholders of the Company approved the 2015 Stock Award and Incentive Plan (the "2015 Plan"). The 2015 Plan replaces the 2010 Stock Award and Incentive Plan (the “2010 Plan”). The total number of shares authorized for issuance under the Plan is 1,500,000 shares plus shares that remained available for issuance under the 2010 Plan as of May 6, 2015 and any shares subject to outstanding awards under the 2010 Plan that are cancelled, forfeited or expire.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372,478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375,513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749,586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742,018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395,063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412,901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792,862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816,620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767,541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788,414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1,542,448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1,558,638</w:t>
            </w: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84,015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90,805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176,743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178,869</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172,638</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(36,303)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and related costs (1)</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 (2)</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148,821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310,613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309,168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3,198</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136,978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293,386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289,286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10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related costs are associated with the acquisitions of Ottens Flavors and Lucas Meyer as discussed in Note 3, including inventory step-up charges related to Ottens Flavors.</w:t>
      </w:r>
    </w:p>
    <w:p>
      <w:pPr>
        <w:spacing w:after="0" w:line="1" w:lineRule="exact"/>
        <w:rPr>
          <w:rFonts w:ascii="Arial" w:cs="Arial" w:eastAsia="Arial" w:hAnsi="Arial"/>
          <w:sz w:val="18"/>
          <w:szCs w:val="18"/>
          <w:color w:val="auto"/>
        </w:rPr>
      </w:pPr>
    </w:p>
    <w:p>
      <w:pPr>
        <w:ind w:left="340" w:right="8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3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June 30, 2015 and 2014 were $167 million and $175 million, respectively and for the six months ended June 30, 2015 and 2014 were $330 million and $336 million, respectively. Net sales attributed to all foreign countries in</w:t>
      </w:r>
    </w:p>
    <w:p>
      <w:pPr>
        <w:sectPr>
          <w:pgSz w:w="11900" w:h="16838" w:orient="portrait"/>
          <w:cols w:equalWidth="0" w:num="1">
            <w:col w:w="11420"/>
          </w:cols>
          <w:pgMar w:left="240" w:top="746" w:right="239" w:bottom="1440" w:gutter="0" w:footer="0" w:header="0"/>
        </w:sect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6" w:right="239" w:bottom="1440" w:gutter="0" w:footer="0" w:header="0"/>
          <w:type w:val="continuous"/>
        </w:sectPr>
      </w:pPr>
    </w:p>
    <w:bookmarkStart w:id="9" w:name="page10"/>
    <w:bookmarkEnd w:id="9"/>
    <w:p>
      <w:pPr>
        <w:jc w:val="both"/>
        <w:ind w:right="280"/>
        <w:spacing w:after="0" w:line="264" w:lineRule="auto"/>
        <w:rPr>
          <w:sz w:val="20"/>
          <w:szCs w:val="20"/>
          <w:color w:val="auto"/>
        </w:rPr>
      </w:pPr>
      <w:r>
        <w:rPr>
          <w:rFonts w:ascii="Arial" w:cs="Arial" w:eastAsia="Arial" w:hAnsi="Arial"/>
          <w:sz w:val="18"/>
          <w:szCs w:val="18"/>
          <w:color w:val="auto"/>
        </w:rPr>
        <w:t>total for the three months ended June 30, 2015 and 2014 were $601 million and $613 million, respectively and for the six months ended June 30, 2015 and 2014 were $1,212 million and $1,223 million, respectively. No country other than the U.S. had net sales in any period presented greater than 7.0% of total consolidated net sales.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12,463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8,509</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3,902</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16,952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5,954</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5,701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8,323</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expects to contribute a total of approximately $30 million to its non-U.S. pension plans during 2015. During the three months ended June 30, 2015, there were no contributions made to the qualified U.S. pension plans, but during the six months ended June 30, 2015, $35.0 million of contributions were made. In the three and six months ended June 30, 2015, $3.4 million and $22.5 million of contributions were made to the non-U.S. plans, respectively. In the three and six months ended June 30, 2015, $1.1 million and $2.1 million of benefit payments were made with respect to the Company’s non-qualified U.S. pension plan,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1,238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2,475</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2015. In the three and six months ended June 30, 2015, $1.7 million and $3.4 million of contributions were made.</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2014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June 30, 2015.</w:t>
      </w:r>
    </w:p>
    <w:p>
      <w:pPr>
        <w:spacing w:after="0" w:line="1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June 30, 2015 and December 31, 2014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2015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480" w:type="dxa"/>
            <w:vAlign w:val="bottom"/>
          </w:tcPr>
          <w:p>
            <w:pPr>
              <w:spacing w:after="0"/>
              <w:rPr>
                <w:sz w:val="19"/>
                <w:szCs w:val="19"/>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480" w:type="dxa"/>
            <w:vAlign w:val="bottom"/>
          </w:tcPr>
          <w:p>
            <w:pPr>
              <w:spacing w:after="0"/>
              <w:rPr>
                <w:sz w:val="20"/>
                <w:szCs w:val="20"/>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377,254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377,254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478,573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478,573</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68,948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68,948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576,942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587,650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299,795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294,136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296,290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During the six months ended June 30, 2015 and the year ended December 31, 2014, we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58" w:right="239" w:bottom="1440" w:gutter="0" w:footer="0" w:header="0"/>
        </w:sectPr>
      </w:pPr>
    </w:p>
    <w:bookmarkStart w:id="11" w:name="page12"/>
    <w:bookmarkEnd w:id="11"/>
    <w:p>
      <w:pPr>
        <w:ind w:right="20"/>
        <w:spacing w:after="0" w:line="264" w:lineRule="auto"/>
        <w:rPr>
          <w:sz w:val="20"/>
          <w:szCs w:val="20"/>
          <w:color w:val="auto"/>
        </w:rPr>
      </w:pPr>
      <w:r>
        <w:rPr>
          <w:rFonts w:ascii="Arial" w:cs="Arial" w:eastAsia="Arial" w:hAnsi="Arial"/>
          <w:sz w:val="18"/>
          <w:szCs w:val="18"/>
          <w:color w:val="auto"/>
        </w:rPr>
        <w:t>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Four of these forward currency contracts matured during the six months ended June 30, 2015.</w:t>
      </w:r>
    </w:p>
    <w:p>
      <w:pPr>
        <w:spacing w:after="0" w:line="18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During the six months ended June 30, 2015 and the year ended December 31, 2014, we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11"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During 2014, we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six months ended June 30,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2015 and December 31,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191,150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425,000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425,000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30, 2015 and December 31,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2015</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12,519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14,688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35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21,035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six months ended June 30, 2015 and 2014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w w:val="94"/>
              </w:rPr>
              <w:t>Amount of Gain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700" w:type="dxa"/>
            <w:vAlign w:val="bottom"/>
            <w:gridSpan w:val="4"/>
          </w:tcPr>
          <w:p>
            <w:pPr>
              <w:jc w:val="center"/>
              <w:ind w:left="52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5"/>
              </w:rPr>
              <w:t>Derivative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700" w:type="dxa"/>
            <w:vAlign w:val="bottom"/>
            <w:gridSpan w:val="4"/>
          </w:tcPr>
          <w:p>
            <w:pPr>
              <w:jc w:val="center"/>
              <w:ind w:left="524"/>
              <w:spacing w:after="0"/>
              <w:rPr>
                <w:sz w:val="20"/>
                <w:szCs w:val="20"/>
                <w:color w:val="auto"/>
              </w:rPr>
            </w:pPr>
            <w:r>
              <w:rPr>
                <w:rFonts w:ascii="Arial" w:cs="Arial" w:eastAsia="Arial" w:hAnsi="Arial"/>
                <w:sz w:val="14"/>
                <w:szCs w:val="14"/>
                <w:b w:val="1"/>
                <w:bCs w:val="1"/>
                <w:color w:val="auto"/>
                <w:w w:val="93"/>
              </w:rPr>
              <w:t>Three Months Ended June 30,</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500" w:type="dxa"/>
            <w:vAlign w:val="bottom"/>
            <w:tcBorders>
              <w:bottom w:val="single" w:sz="8" w:color="CCEEFF"/>
            </w:tcBorders>
            <w:gridSpan w:val="3"/>
            <w:shd w:val="clear" w:color="auto" w:fill="CCEEFF"/>
          </w:tcPr>
          <w:p>
            <w:pPr>
              <w:jc w:val="right"/>
              <w:ind w:right="1688"/>
              <w:spacing w:after="0"/>
              <w:rPr>
                <w:sz w:val="20"/>
                <w:szCs w:val="20"/>
                <w:color w:val="auto"/>
              </w:rPr>
            </w:pPr>
            <w:r>
              <w:rPr>
                <w:rFonts w:ascii="Arial" w:cs="Arial" w:eastAsia="Arial" w:hAnsi="Arial"/>
                <w:sz w:val="18"/>
                <w:szCs w:val="18"/>
                <w:color w:val="auto"/>
                <w:w w:val="94"/>
              </w:rPr>
              <w:t>3,465   Other expense (income),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60" w:type="dxa"/>
            <w:vAlign w:val="bottom"/>
            <w:gridSpan w:val="3"/>
          </w:tcPr>
          <w:p>
            <w:pPr>
              <w:jc w:val="center"/>
              <w:ind w:right="25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700" w:type="dxa"/>
            <w:vAlign w:val="bottom"/>
            <w:gridSpan w:val="4"/>
          </w:tcPr>
          <w:p>
            <w:pPr>
              <w:jc w:val="center"/>
              <w:ind w:left="52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w w:val="95"/>
              </w:rPr>
              <w:t>Derivative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700" w:type="dxa"/>
            <w:vAlign w:val="bottom"/>
            <w:gridSpan w:val="4"/>
          </w:tcPr>
          <w:p>
            <w:pPr>
              <w:jc w:val="center"/>
              <w:ind w:left="504"/>
              <w:spacing w:after="0"/>
              <w:rPr>
                <w:sz w:val="20"/>
                <w:szCs w:val="20"/>
                <w:color w:val="auto"/>
              </w:rPr>
            </w:pPr>
            <w:r>
              <w:rPr>
                <w:rFonts w:ascii="Arial" w:cs="Arial" w:eastAsia="Arial" w:hAnsi="Arial"/>
                <w:sz w:val="14"/>
                <w:szCs w:val="14"/>
                <w:b w:val="1"/>
                <w:bCs w:val="1"/>
                <w:color w:val="auto"/>
                <w:w w:val="92"/>
              </w:rPr>
              <w:t>Six Months Ended June 30,</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4"/>
              </w:rPr>
              <w:t>10,075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500" w:type="dxa"/>
            <w:vAlign w:val="bottom"/>
            <w:gridSpan w:val="3"/>
            <w:shd w:val="clear" w:color="auto" w:fill="CCEEFF"/>
          </w:tcPr>
          <w:p>
            <w:pPr>
              <w:jc w:val="right"/>
              <w:ind w:right="1688"/>
              <w:spacing w:after="0"/>
              <w:rPr>
                <w:sz w:val="20"/>
                <w:szCs w:val="20"/>
                <w:color w:val="auto"/>
              </w:rPr>
            </w:pPr>
            <w:r>
              <w:rPr>
                <w:rFonts w:ascii="Arial" w:cs="Arial" w:eastAsia="Arial" w:hAnsi="Arial"/>
                <w:sz w:val="18"/>
                <w:szCs w:val="18"/>
                <w:color w:val="auto"/>
                <w:w w:val="99"/>
              </w:rPr>
              <w:t>538   Other expense (income),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six months ended June 30, 2015 and 2014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3"/>
            <w:vMerge w:val="restart"/>
          </w:tcPr>
          <w:p>
            <w:pPr>
              <w:jc w:val="center"/>
              <w:ind w:left="380"/>
              <w:spacing w:after="0"/>
              <w:rPr>
                <w:sz w:val="20"/>
                <w:szCs w:val="20"/>
                <w:color w:val="auto"/>
              </w:rPr>
            </w:pPr>
            <w:r>
              <w:rPr>
                <w:rFonts w:ascii="Arial" w:cs="Arial" w:eastAsia="Arial" w:hAnsi="Arial"/>
                <w:sz w:val="14"/>
                <w:szCs w:val="14"/>
                <w:b w:val="1"/>
                <w:bCs w:val="1"/>
                <w:color w:val="auto"/>
                <w:w w:val="92"/>
              </w:rPr>
              <w:t>Amount of (Loss) Gain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4"/>
              </w:rPr>
              <w:t>Amount of (Loss) Gain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4"/>
          </w:tcPr>
          <w:p>
            <w:pPr>
              <w:jc w:val="center"/>
              <w:ind w:left="39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Portion)</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Portion)</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5"/>
          </w:tcPr>
          <w:p>
            <w:pPr>
              <w:jc w:val="center"/>
              <w:ind w:right="134"/>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3"/>
            <w:vMerge w:val="restart"/>
          </w:tcPr>
          <w:p>
            <w:pPr>
              <w:jc w:val="center"/>
              <w:ind w:left="380"/>
              <w:spacing w:after="0"/>
              <w:rPr>
                <w:sz w:val="20"/>
                <w:szCs w:val="20"/>
                <w:color w:val="auto"/>
              </w:rPr>
            </w:pPr>
            <w:r>
              <w:rPr>
                <w:rFonts w:ascii="Arial" w:cs="Arial" w:eastAsia="Arial" w:hAnsi="Arial"/>
                <w:sz w:val="14"/>
                <w:szCs w:val="14"/>
                <w:b w:val="1"/>
                <w:bCs w:val="1"/>
                <w:color w:val="auto"/>
                <w:w w:val="92"/>
              </w:rPr>
              <w:t>Amount of (Loss) Gain</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4"/>
              </w:rPr>
              <w:t>Amount of (Loss) Gain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4"/>
          </w:tcPr>
          <w:p>
            <w:pPr>
              <w:jc w:val="center"/>
              <w:ind w:left="399"/>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Portion)</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Portion)</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11"/>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5,979</w:t>
            </w:r>
          </w:p>
        </w:tc>
        <w:tc>
          <w:tcPr>
            <w:tcW w:w="10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138</w:t>
            </w: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Derivatives in Net Investment Hedging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3,531</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9,648</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 for the $300 million bond offering.</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right="4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hedges during the three and six months ended June 30, 2015 and 2014. The ineffective portion of the net investment hedges was not material during the three and six months ended June 30, 2015 and 2014.</w:t>
      </w:r>
    </w:p>
    <w:p>
      <w:pPr>
        <w:spacing w:after="0" w:line="116"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Company expects that approximately $15.2 million (net of tax) of derivative gains included in AOCI at June 30, 2015, based on current market rates, will be reclassified into earnings within the next 12 months. The majority of this amount will vary due to fluctuations in foreign currency exchange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(368,436)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(556,248)</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(106,104)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(275,656)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(383,714)</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7"/>
          <w:szCs w:val="17"/>
          <w:color w:val="auto"/>
        </w:rPr>
        <w:t>The following table provides details about reclassifications out of accumulated other comprehensive income to the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June</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Six Months Ended June</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30, 2015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30, 2014</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0"/>
        </w:trPr>
        <w:tc>
          <w:tcPr>
            <w:tcW w:w="536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80"/>
              <w:spacing w:after="0"/>
              <w:rPr>
                <w:sz w:val="20"/>
                <w:szCs w:val="20"/>
                <w:color w:val="auto"/>
              </w:rPr>
            </w:pPr>
            <w:r>
              <w:rPr>
                <w:rFonts w:ascii="Arial" w:cs="Arial" w:eastAsia="Arial" w:hAnsi="Arial"/>
                <w:sz w:val="18"/>
                <w:szCs w:val="18"/>
                <w:color w:val="auto"/>
              </w:rPr>
              <w:t>Interest rate swaps</w:t>
            </w: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67"/>
        </w:trPr>
        <w:tc>
          <w:tcPr>
            <w:tcW w:w="536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(Losses) gains on pension and postretirement liability adjustments</w:t>
            </w: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5360" w:type="dxa"/>
            <w:vAlign w:val="bottom"/>
            <w:gridSpan w:val="2"/>
          </w:tcPr>
          <w:p>
            <w:pPr>
              <w:ind w:left="380"/>
              <w:spacing w:after="0"/>
              <w:rPr>
                <w:sz w:val="20"/>
                <w:szCs w:val="20"/>
                <w:color w:val="auto"/>
              </w:rPr>
            </w:pPr>
            <w:r>
              <w:rPr>
                <w:rFonts w:ascii="Arial" w:cs="Arial" w:eastAsia="Arial" w:hAnsi="Arial"/>
                <w:sz w:val="18"/>
                <w:szCs w:val="18"/>
                <w:color w:val="auto"/>
              </w:rPr>
              <w:t>Actuarial losses</w:t>
            </w:r>
          </w:p>
        </w:tc>
        <w:tc>
          <w:tcPr>
            <w:tcW w:w="1220" w:type="dxa"/>
            <w:vAlign w:val="bottom"/>
          </w:tcPr>
          <w:p>
            <w:pPr>
              <w:jc w:val="right"/>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2014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June 30, 2015, we had total bank guarantees and standby letters of credit of approximately $29.9 million with various financial institutions. Included in the above aggregate amount is a total of $16.5 million in bank guarantees which the Company has posted for certain assessments in Brazil for other diverse income tax and indirect tax disputes related to fiscal years 1998-2011. There were no material amounts utilized under the standby letters of credit as of June 30, 2015.</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$15.1 million as of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June 30, 2015, we had available lines of credit (in addition to the Credit Facility discussed in Note 8 of our 2014 Form 10-K) of approximately $72.9 million with various financial institutions. There were no significant amounts drawn down pursuant to these lines of credit as of June 30,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jc w:val="both"/>
        <w:ind w:right="300"/>
        <w:spacing w:after="0" w:line="312" w:lineRule="auto"/>
        <w:rPr>
          <w:sz w:val="20"/>
          <w:szCs w:val="20"/>
          <w:color w:val="auto"/>
        </w:rPr>
      </w:pPr>
      <w:r>
        <w:rPr>
          <w:rFonts w:ascii="Arial" w:cs="Arial" w:eastAsia="Arial" w:hAnsi="Arial"/>
          <w:sz w:val="16"/>
          <w:szCs w:val="16"/>
          <w:color w:val="auto"/>
        </w:rPr>
        <w:t>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Odor Matter</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has been notified by Chinese authorities of compliance issues pertaining to the emission of odors from several of its plants in China. The Company has been addressing these issues by making investments in additional odor-abatement equipment.</w:t>
      </w:r>
    </w:p>
    <w:p>
      <w:pPr>
        <w:spacing w:after="0" w:line="35"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Company’s Flavors facility in China was temporarily idled and another facility is currently operating at a reduced workload. The Company is also making additional odor-abatement investments across all of its China facilities while it continues to work with the various authorities in China. To meet production requirements, the Company has moved a portion of its Chinese Flavors production to other IFF and third party facilities. 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$31.6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discovery with a trial on the merits anticipated in mid-2016.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Based on the information available as of June 30, 2015, we estimate a range of reasonably possible loss related to the matters above, collectively, is $0-$31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fragrances are a key component in the world’s finest perfumes and best-known consumer brands, including beauty care, fabric care, personal wash and home care products. Our Fragrance Compounds are defined into broad market categories, (1) Fine Fragrances and (2) Consumer Fragrances. Consumer Fragrances consists of five end-use categories: (1) Fabric Care, (2) Home Care, (3) Personal Wash, (4) Hair Care and (5) Toiletries. In addition, Fragrance Ingredients, which are used internally and sold to third parties, including customers and competitors, for use in preparation of compounds, are included in the Fragrances business unit.</w:t>
      </w:r>
    </w:p>
    <w:p>
      <w:pPr>
        <w:spacing w:after="0" w:line="13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The flavors and fragrances market is estimated to be at least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2020</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During the second quarter of 2015, the Company announced its Vision 2020 strategy, which focuses on building differentiation and accelerating profitable growth. The strategy has four pillars:</w:t>
      </w:r>
    </w:p>
    <w:p>
      <w:pPr>
        <w:spacing w:after="0" w:line="116"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Win Where We Compete - achieve a #1 or #2 market leadership position in key markets and categories, and with specific customers.</w:t>
      </w:r>
    </w:p>
    <w:p>
      <w:pPr>
        <w:spacing w:after="0" w:line="171" w:lineRule="exact"/>
        <w:rPr>
          <w:rFonts w:ascii="Arial" w:cs="Arial" w:eastAsia="Arial" w:hAnsi="Arial"/>
          <w:sz w:val="18"/>
          <w:szCs w:val="18"/>
          <w:color w:val="auto"/>
        </w:rPr>
      </w:pPr>
    </w:p>
    <w:p>
      <w:pPr>
        <w:ind w:right="10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Innovating Firsts - strengthen our position and drive differentiation in priority R&amp;D platforms such as delivery systems, modulation, new molecules and naturals.</w:t>
      </w:r>
    </w:p>
    <w:p>
      <w:pPr>
        <w:spacing w:after="0" w:line="116" w:lineRule="exact"/>
        <w:rPr>
          <w:rFonts w:ascii="Arial" w:cs="Arial" w:eastAsia="Arial" w:hAnsi="Arial"/>
          <w:sz w:val="18"/>
          <w:szCs w:val="18"/>
          <w:color w:val="auto"/>
        </w:rPr>
      </w:pPr>
    </w:p>
    <w:p>
      <w:pPr>
        <w:ind w:right="14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Become Our Customers' Partner of Choice - attain commercial excellence by providing our customers with in-depth local consumer understanding, industry-leading innovation, outstanding service and the highest quality products.</w:t>
      </w:r>
    </w:p>
    <w:p>
      <w:pPr>
        <w:spacing w:after="0" w:line="116" w:lineRule="exact"/>
        <w:rPr>
          <w:rFonts w:ascii="Arial" w:cs="Arial" w:eastAsia="Arial" w:hAnsi="Arial"/>
          <w:sz w:val="18"/>
          <w:szCs w:val="18"/>
          <w:color w:val="auto"/>
        </w:rPr>
      </w:pPr>
    </w:p>
    <w:p>
      <w:pPr>
        <w:ind w:right="20" w:firstLine="41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and Expand the Portfolio - actively pursue value-creation through partnerships, collaborations, and acquisitions within flavors, fragrances and adjacencies.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Talent and Organization, Continuous Improvement, and Sustainability enable the successful execution of Vision 2020.</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also announced its long-term financial targets for 2016 to 2020. These include 4-6% currency neutral sales growth, 7-9% currency neutral operating profit growth, and 10% currency neutral EPS growth. In addition to these organic goals, the Company is also targeting $500 million to $1 billion of sales growth through acquisitions by 2020. Leveraging its strong cash flow generation and commitment to Vision 2020, the Company increased its targeted cash return to shareholders to 50-60% of adjusted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Progress</w:t>
      </w:r>
    </w:p>
    <w:p>
      <w:pPr>
        <w:spacing w:after="0" w:line="17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During the second quarter of 2015, the Company completed the acquisition of 100% of the outstanding shares of Henry H. Ottens Manufacturing Co., Inc. ("Ottens Flavors") for approximately $199.2 million. The acquisition did not have a material impact on the consolidated financial statements. The acquisition strengthened our position in the targeted North American market for Flavors.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right="320" w:firstLine="324"/>
        <w:spacing w:after="0" w:line="286" w:lineRule="auto"/>
        <w:rPr>
          <w:sz w:val="20"/>
          <w:szCs w:val="20"/>
          <w:color w:val="auto"/>
        </w:rPr>
      </w:pPr>
      <w:r>
        <w:rPr>
          <w:rFonts w:ascii="Arial" w:cs="Arial" w:eastAsia="Arial" w:hAnsi="Arial"/>
          <w:sz w:val="17"/>
          <w:szCs w:val="17"/>
          <w:color w:val="auto"/>
        </w:rPr>
        <w:t>On July 30, 2015, we completed the acquisition of 100% of the outstanding shares of Lucas Meyer Cosmetics, a business of Unipex Group, ("Lucas Meyer") for approximately Euro 283 million ($311 million). (The total shares acquired include shares effectively acquired pursuant to put and call option agreements). This acquisition is not expected to have a material impact on the consolidated financial statements.</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sales during the second quarter of 2015 declined 3% on a reported basis but increased 5% on a currency neutral basis (which excludes the effects of changes in currency), with the acquisition of Ottens Flavors contributing approximately 1% to both reported and currency neutral basis amounts. The currency neutral growth of 5% reflects new win performance (net of losses) in both Flavors and Fragrance Compounds and lower volume erosion on existing business.</w:t>
      </w:r>
    </w:p>
    <w:p>
      <w:pPr>
        <w:spacing w:after="0" w:line="13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Exchange rate fluctuations had an 800 basis point (bps) unfavorable impact on net sales for the second quarter, driven mainly by the weakening of the Euro against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Gross margins increased year-over-year to 45.0% in the second quarter of 2015 from 44.7% in the 2014 period. Included in the second quarter of 2015 was $1.1 million of costs associated with operational improvement initiatives and acquisition related inventory "step-up" costs, compared to $3.1 million of costs related to restructuring and operational improvement initiatives included in the 2014 period. Excluding these items, gross margin remained consistent with the prior year period. The overall raw material cost base remains elevated, including certain categories where prices remain well above average levels. We believe input costs will increase less than 1% in 2015 as higher prices on certain categories, such as naturals, will largely offset benefits associated with oil-based derivatives that are expected to occur later in 2015. We continue to seek improvements in our margins through operational performance and mix enhancement.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Reported sales in the second quarter of 2015 decreased approximately 3%. In currency neutral terms, sales increased 5%, reflecting new win performance in both Flavors and Fragrance Compounds and lower volume erosion on existing business and the acquisition of Ottens Flavors (which added approximately 1% to both reported and currency neutral basis amounts). We continue to benefit from our diverse portfolio of end-use product categories and geographies and had growth in three of four regions and Consumer Fragrances and Flavor Compounds both had positive currency neutral growth. Flavors realized currency neutral growth of 7% for the second quarter of 2015, including 3% from Ottens Flavors. Our Fragrance business achieved currency neutral growth of 4%. Fragrances performance reflects new win performance in our Consumer Fragrances end-use categories, led by sales in Fabric Care. Overall, our second quarter 2015 results continued to be driven by our strong emerging market presence that represented 52% of currency neutral sales and experienced 7% currency neutral growth. From a geographic perspective, for the second quarter, Europe, Africa and the Middle East (EAME), Latin America (LA) and Greater Asia (GA) all delivered currency neutral growth in 2015, led by EAME and LA, with 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Operating profit decreased $4.3 million to $148.8 million (19.4% of sales) in the 2015 second quarter compared to $153.1 million (19.4% of sales) in the comparable 2014 period. The three months ended June 30, 2015 included a benefit related to restructuring reversals of $0.4 million, operational improvement initiative costs of $0.3 million and $6.6 million of acquisition and related costs compared to $3.3 million of restructuring and operational improvement initiative costs in the prior year period. Excluding these charges, adjusted operating profit was $155.3 million (20.2% of sales) for the second quarter of 2015 compared to $156.4 million (19.8% of sales) for the second quarter of 2014. Foreign currency changes had an unfavorable impact on operating profit of approximately 8% in the second quarter of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Other expense (income), net decreased $5 million to $0.4 million of expense in the second quarter of 2015 compared to $4.6 million of income in the second quarter of 2014. The year-over-year decrease is primarily driven by lower foreign exchange gains and lower mark-to-market adjustments on deferred compensation plan assets during 2015 compared to the 2014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income decreased by $4.9 million quarter-over-quarter to $105.4 million for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665"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flows from operations for the six months ended June 30, 2015 were $166.3 million or 10.8% of sales, compared to cash inflow from operations of $154.0 million or 9.9% of sales for the six months ended June 30, 2014. The increase in cash flow from operations in 2015 reflects higher net income, lower payments for incentive compensation and higher cash inflows from core working capital (trade receivables, inventories and accounts payable), which were partially offset principally by higher pension contributions in the 2015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June 30,</w:t>
            </w:r>
          </w:p>
        </w:tc>
        <w:tc>
          <w:tcPr>
            <w:tcW w:w="1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4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767,541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788,414</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1,558,638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422,501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435,767</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851,131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864,579</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345,040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352,647</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691,317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694,059</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gridSpan w:val="3"/>
          </w:tcPr>
          <w:p>
            <w:pPr>
              <w:ind w:left="40"/>
              <w:spacing w:after="0"/>
              <w:rPr>
                <w:sz w:val="20"/>
                <w:szCs w:val="20"/>
                <w:color w:val="auto"/>
              </w:rPr>
            </w:pPr>
            <w:r>
              <w:rPr>
                <w:rFonts w:ascii="Arial" w:cs="Arial" w:eastAsia="Arial" w:hAnsi="Arial"/>
                <w:sz w:val="18"/>
                <w:szCs w:val="18"/>
                <w:color w:val="auto"/>
                <w:w w:val="99"/>
              </w:rPr>
              <w:t>Research and development (R&amp;D)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62,514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66,431</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125,976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127,934</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134,063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132,919</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1 %</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254,898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256,653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w w:val="93"/>
              </w:rPr>
              <w:t>Restructuring and other charges, net</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182</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153,115</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309,168</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11,403</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22,502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23,080</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(4,641)</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136,978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146,353</w:t>
            </w:r>
          </w:p>
        </w:tc>
        <w:tc>
          <w:tcPr>
            <w:tcW w:w="1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293,386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289,286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36,068</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59,754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72,294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2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105,374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110,285</w:t>
            </w:r>
          </w:p>
        </w:tc>
        <w:tc>
          <w:tcPr>
            <w:tcW w:w="14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233,632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216,992</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280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1400" w:type="dxa"/>
            <w:vAlign w:val="bottom"/>
          </w:tcPr>
          <w:p>
            <w:pPr>
              <w:jc w:val="right"/>
              <w:ind w:right="271"/>
              <w:spacing w:after="0"/>
              <w:rPr>
                <w:sz w:val="20"/>
                <w:szCs w:val="20"/>
                <w:color w:val="auto"/>
              </w:rPr>
            </w:pPr>
            <w:r>
              <w:rPr>
                <w:rFonts w:ascii="Arial" w:cs="Arial" w:eastAsia="Arial" w:hAnsi="Arial"/>
                <w:sz w:val="18"/>
                <w:szCs w:val="18"/>
                <w:i w:val="1"/>
                <w:iCs w:val="1"/>
                <w:color w:val="auto"/>
              </w:rPr>
              <w:t>40</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1280" w:type="dxa"/>
            <w:vAlign w:val="bottom"/>
          </w:tcPr>
          <w:p>
            <w:pPr>
              <w:jc w:val="right"/>
              <w:ind w:right="151"/>
              <w:spacing w:after="0"/>
              <w:rPr>
                <w:sz w:val="20"/>
                <w:szCs w:val="20"/>
                <w:color w:val="auto"/>
              </w:rPr>
            </w:pPr>
            <w:r>
              <w:rPr>
                <w:rFonts w:ascii="Arial" w:cs="Arial" w:eastAsia="Arial" w:hAnsi="Arial"/>
                <w:sz w:val="18"/>
                <w:szCs w:val="18"/>
                <w:i w:val="1"/>
                <w:iCs w:val="1"/>
                <w:color w:val="auto"/>
              </w:rPr>
              <w:t>40</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8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372,478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375,513</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749,586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395,063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412,901</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792,862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816,620</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767,541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788,414</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1,542,448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1,558,638</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excludes the benefit from Restructuring and other charges, net of $0.4 million, operational improvement initiative costs of $0.3 million and acquisition and related costs of $6.6 million for the three months ended June 30, 2015 and excludes $3.3 million of restructuring and operational improvement initiative costs for the three months ended June 30, 2014. For the six months ended June 30, 2015, adjusted operating margin excludes the benefit from Restructuring and other charges, net of $0.2 million, operational improvement initiative costs of $0.6 million and acquisition related costs of $7.1 million compared to the exclusion of $6.0 million of Restructuring and other charges, net and operational improvement initiative costs during the comparable 2014 period.</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0" w:name="page21"/>
    <w:bookmarkEnd w:id="20"/>
    <w:p>
      <w:pPr>
        <w:ind w:right="534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2015 IN COMPARISON TO SECOND QUARTER 2014 </w:t>
      </w:r>
      <w:r>
        <w:rPr>
          <w:rFonts w:ascii="Arial" w:cs="Arial" w:eastAsia="Arial" w:hAnsi="Arial"/>
          <w:sz w:val="18"/>
          <w:szCs w:val="18"/>
          <w:b w:val="1"/>
          <w:bCs w:val="1"/>
          <w:color w:val="auto"/>
        </w:rPr>
        <w:t>Sales</w:t>
      </w:r>
    </w:p>
    <w:p>
      <w:pPr>
        <w:spacing w:after="0" w:line="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Sales for the second quarter of 2015 totaled $767.5 million, a decrease of 3% from the prior year quarter. Excluding the impact of foreign currency, currency neutral sales increased 5%, as a result of new win performance (net of losses) in both Flavors and Fragrance Compounds and lower volume erosion on existing business. On both a reported and currency neutral basis, the acquisition of Ottens Flavors added approximately 1% to net sales amounts. Overall currency neutral growth was driven by 7% growth in emerging markets.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Flavors reported sales declined 1%, and currency neutral sales growth was up 7% during the second quarter of 2015 compared to the 2014 period. The acquisition of Ottens Flavors added approximately 3% to both reported and currency neutral basis amounts. In addition, the overall performance reflects new wins. The currency neutral overall increase was due to high single-digit growth in Dairy, mid single-digit growth in Savory and low single-digit growth in Beverage. The Flavors business delivered currency neutral growth in all regions, led by LA. Sales in LA were driven by double-digit gains in Beverage, Savory and Dairy. Sales in EAME were driven by double-digit gains in Savory and mid single-digit gains in Beverage. GA sales were driven by mid single-digit gains in Savory, Beverage and Dairy and sales in North America (NOAM) were led by high double-digit gains in Dairy.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The Fragrances business experienced a decline of 4% in reported sales and a 4% increase in currency neutral sales for the second quarter of 2015 compared to the second quarter of 2014. The overall currency neutral increase was primarily driven by double-digit gains in our Fabric Care category and high single-digit gains in our Home Care and Hair Care categories, offset by low to high single-digit declines in Toiletries, Personal Wash and Fragrance Ingredients. Our Fragrance Compounds saw currency neutral sales growth of 5%, while Fragrance Ingredients declined 3% over the prior year period.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w w:val="93"/>
              </w:rPr>
              <w:t>% Change in Sales-Second Quarter 2015 vs. Second Quarter 2014</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Flavors</w:t>
            </w:r>
          </w:p>
        </w:tc>
        <w:tc>
          <w:tcPr>
            <w:tcW w:w="12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210" w:lineRule="exact"/>
        <w:rPr>
          <w:rFonts w:ascii="Arial" w:cs="Arial" w:eastAsia="Arial" w:hAnsi="Arial"/>
          <w:sz w:val="18"/>
          <w:szCs w:val="18"/>
          <w:color w:val="auto"/>
        </w:rPr>
      </w:pPr>
    </w:p>
    <w:p>
      <w:pPr>
        <w:ind w:left="660" w:right="140" w:hanging="328"/>
        <w:spacing w:after="0" w:line="288"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NOAM Flavors sales increased 5%, which included sales from Ottens Flavors and high double-digit growth in Dairy. NOAM Fragrance sales decreased 6% in the second quarter of 2015, principally due to double-digit declines in Fragrance Ingredients and Toiletries and mid to high single-digit decreases in Fine Fragrance, Hair Care and Personal Wash, which were only partially offset by double-digit growth in Fabric Care.</w:t>
      </w:r>
    </w:p>
    <w:p>
      <w:pPr>
        <w:jc w:val="both"/>
        <w:ind w:left="660" w:right="60" w:hanging="328"/>
        <w:spacing w:after="0" w:line="281"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EAME Flavors currency neutral sales growth of 6% was led by double-digit growth in Savory and mid single-digit growth in Beverage, which more than offset mid single-digit declines in Dairy. EAME Fragrance currency neutral sales increased 12% overall, driven mainly by double-digit growth in Fabric Care, Fine Fragrance, Home Care and Hair Care categories, as well as low single-digit increases in Fragrance Ingredients.</w:t>
      </w:r>
    </w:p>
    <w:p>
      <w:pPr>
        <w:spacing w:after="0" w:line="2" w:lineRule="exact"/>
        <w:rPr>
          <w:rFonts w:ascii="Arial" w:cs="Arial" w:eastAsia="Arial" w:hAnsi="Arial"/>
          <w:sz w:val="16"/>
          <w:szCs w:val="16"/>
          <w:color w:val="auto"/>
        </w:rPr>
      </w:pPr>
    </w:p>
    <w:p>
      <w:pPr>
        <w:ind w:left="660" w:right="280" w:hanging="328"/>
        <w:spacing w:after="0" w:line="261"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LA Flavors currency neutral sales were up 14% driven by double-digit gains in the Savory, Beverage and Dairy categories as well as high single-digit growth in Sweet. LA Fragrances currency neutral sales increased 6% overall,</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96" w:right="25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principally led by double-digit gains in Fabric Care and Home Care, which more than offset double-digit declines in Fine Fragrance and Toiletries.</w:t>
      </w:r>
    </w:p>
    <w:p>
      <w:pPr>
        <w:spacing w:after="0" w:line="46"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 Flavors had currency neutral sales growth of 6% principally from mid single-digit gains in Savory, Beverage and Dairy. GA Fragrances currency neutral sales decline of 2% was principally driven by low to mid single-digit declines in Personal Wash, Home Care and Fabric Care, which was only partially offset by mid to high single-digit gains in Hair Care and Toiletries.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 of goods sold, as a percentage of sales, decreased 30 bps to 55.0% in the second quarter of 2015 compared to 55.3% in the second quarter of 2014. Included in cost of goods sold was $1.1 million of charges related to operational improvement initiative costs and acquisition related inventory "step-up" costs in 2015 compared to $3.1 million of restructuring and operational improvement initiative related costs in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slightly compared to the prior year period at 8.1% in the second quarter of 2015 versus 8.4% in the second quarter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S&amp;A expenses increased $1.2 million to $134.1 million or 17.5%, as a percentage of sales, in the second quarter of 2015 compared to 16.9% in the second quarter of 2014. The $1.2 million increase is principally due to the acquisition of Ottens Flavors and spending to support the future growth of the Company, partially offset by the impact of currency and lower incentive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84,015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90,805</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79,924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85,474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(19,869)</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148,821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153,115</w:t>
            </w:r>
          </w:p>
        </w:tc>
      </w:tr>
      <w:tr>
        <w:trPr>
          <w:trHeight w:val="67"/>
        </w:trPr>
        <w:tc>
          <w:tcPr>
            <w:tcW w:w="79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Flavors segment profit decreased approximately 7% to $84.0 million in the second quarter of 2015, or 22.6% as a percentage of sales, compared to $90.8 million, or 24.2% as a percentage of sales, in the comparable 2014 period. The decrease in segment profit and profit margin was driven primarily by unfavorable currency impacts, lower incentive compensation in the prior year, scale up costs of new sites in Turkey and Indonesia and other one-off costs, including incremental operating costs associated with the China Flavors facility. These costs were only partially offset by net wins, productivity initiatives and sales mix. The impact of Ottens Flavors was not significant to the 2015 second quarter Flavors segment profit results.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2" w:name="page23"/>
    <w:bookmarkEnd w:id="22"/>
    <w:p>
      <w:pPr>
        <w:ind w:right="260" w:firstLine="432"/>
        <w:spacing w:after="0" w:line="286" w:lineRule="auto"/>
        <w:rPr>
          <w:sz w:val="20"/>
          <w:szCs w:val="20"/>
          <w:color w:val="auto"/>
        </w:rPr>
      </w:pPr>
      <w:r>
        <w:rPr>
          <w:rFonts w:ascii="Arial" w:cs="Arial" w:eastAsia="Arial" w:hAnsi="Arial"/>
          <w:sz w:val="17"/>
          <w:szCs w:val="17"/>
          <w:color w:val="auto"/>
        </w:rPr>
        <w:t>Fragrances segment profit declined approximately 6% to $79.9 million in the second quarter of 2015, or 20.2% as a percentage of sales, compared to $85.5 million, or 20.7% as a percentage of sales, in the comparable 2014 period. The decline in segment profit and profit margin was primarily due to unfavorable foreign currency impacts, which were partially offset by favorable volume growth and productivity initiatives.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second quarter of 2015, Global expenses were $8.6 million compared to $19.9 million during the second quarter of 2014. The decrease was principally driven by the favorable impact of our cash flow hedging program and lower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jc w:val="both"/>
        <w:ind w:right="400" w:firstLine="405"/>
        <w:spacing w:after="0" w:line="277" w:lineRule="auto"/>
        <w:rPr>
          <w:sz w:val="20"/>
          <w:szCs w:val="20"/>
          <w:color w:val="auto"/>
        </w:rPr>
      </w:pPr>
      <w:r>
        <w:rPr>
          <w:rFonts w:ascii="Arial" w:cs="Arial" w:eastAsia="Arial" w:hAnsi="Arial"/>
          <w:sz w:val="18"/>
          <w:szCs w:val="18"/>
          <w:color w:val="auto"/>
        </w:rPr>
        <w:t>In 2014, the Company closed its fragrance ingredients manufacturing facility in Augusta, Georgia and consolidated production into other Company facilities. During the second quarter of 2015, the Company recorded a reversal of severance accruals of $0.4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Interest expense remained consistent at $11.4 million in both the second quarter of 2015 and 2014. Average cost of debt was 4.7% for the 2015 three month period compared to 4.9% for the 2014 three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Other expense (income), net decreased by approximately $5 million to $0.4 million of expense in the second quarter of 2015 versus $4.6 million of income in the comparable 2014 period. The year-over-year decrease was primarily driven by lower foreign exchange gains and lower amounts of income related to lower mark-to-market adjustments on deferred compensation plan assets during 2015 compared to the 2014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effective tax rate for the three months ended June 30, 2015 was 23.1% compared with 24.6% for the three months ended June 30, 2014. Excluding the impact of items affecting comparability in the current quarter, the second quarter 2015 adjusted effective tax rate was 22.6%, or 230 bps lower than the second quarter 2014 adjusted effective tax rate of 24.9%, due to higher earnings from lower tax jurisdictions, lower loss provisions and lower repatriation costs in 2015.</w:t>
      </w:r>
    </w:p>
    <w:p>
      <w:pPr>
        <w:spacing w:after="0" w:line="264" w:lineRule="exact"/>
        <w:rPr>
          <w:sz w:val="20"/>
          <w:szCs w:val="20"/>
          <w:color w:val="auto"/>
        </w:rPr>
      </w:pPr>
    </w:p>
    <w:p>
      <w:pPr>
        <w:ind w:right="4700"/>
        <w:spacing w:after="0" w:line="346" w:lineRule="auto"/>
        <w:rPr>
          <w:sz w:val="20"/>
          <w:szCs w:val="20"/>
          <w:color w:val="auto"/>
        </w:rPr>
      </w:pPr>
      <w:r>
        <w:rPr>
          <w:rFonts w:ascii="Arial" w:cs="Arial" w:eastAsia="Arial" w:hAnsi="Arial"/>
          <w:sz w:val="18"/>
          <w:szCs w:val="18"/>
          <w:b w:val="1"/>
          <w:bCs w:val="1"/>
          <w:u w:val="single" w:color="auto"/>
          <w:color w:val="auto"/>
        </w:rPr>
        <w:t xml:space="preserve">FIRST SIX MONTHS OF 2015 IN COMPARISON TO FIRST SIX MONTHS OF 2014 </w:t>
      </w:r>
      <w:r>
        <w:rPr>
          <w:rFonts w:ascii="Arial" w:cs="Arial" w:eastAsia="Arial" w:hAnsi="Arial"/>
          <w:sz w:val="18"/>
          <w:szCs w:val="18"/>
          <w:b w:val="1"/>
          <w:bCs w:val="1"/>
          <w:color w:val="auto"/>
        </w:rPr>
        <w:t>Sales</w:t>
      </w:r>
    </w:p>
    <w:p>
      <w:pPr>
        <w:spacing w:after="0" w:line="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Sales for the first six months of 2015 totaled $1.5 billion, a decrease of 1% from the prior year period. Excluding the impact of foreign currency, currency neutral sales increased 6%. On both a reported and currency neutral basis, the acquisition of Ottens Flavors added less than 1% to net sales amounts. The overall increase on a currency neutral basis of 6% was primarily due to new win performance in both Flavors and Fragrance Compounds and lower volume erosion on existing business. Overall currency neutral growth was driven by 8% growth in emerging markets.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Flavors reported sales growth was 1%, and currency neutral sales growth was 8% during the first six months of 2015 compared to the 2014 period. The acquisition of Ottens Flavors added approximately 1% to net sales on a currency neutral basis. The overall performance primarily reflects new wins and volume growth. The overall increase was due to high single-digit growth in Beverage and Dairy as well as mid single-digit growth in Savory. The Flavors business delivered currency neutral growth in all regions, led by LA. Sales in LA were driven by double-digit gains in Beverage, Savory and Dairy categories. Sales in EAME and GA were led by high single-digit gains in Savory and Beverage and sales in NOAM were led by high double-digit gains in Dairy and high single-digit gains in Sweet.</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Fragrances business experienced a decline of 3% in reported sales but a 4% increase in currency neutral sales for the first six months of 2015 compared to the 2014 period. The overall increase on a currency neutral basis was primarily driven by double-digit gains in our Fabric Care and Home Care categories, which was only partially offset by mid to low single-digit</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65" w:right="23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declines in Toiletries and Fragrance Ingredients. Our Fragrance Compounds saw currency neutral sales growth of 6%, while Fragrance Ingredients declined 3% over the prior year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3"/>
              </w:rPr>
              <w:t>% Change in Sales-First Six Months 2015 vs. First Six Months 2014</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10 %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7"/>
              </w:rPr>
              <w:t>18 %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2015 period.</w:t>
      </w:r>
    </w:p>
    <w:p>
      <w:pPr>
        <w:spacing w:after="0" w:line="210" w:lineRule="exact"/>
        <w:rPr>
          <w:rFonts w:ascii="Arial" w:cs="Arial" w:eastAsia="Arial" w:hAnsi="Arial"/>
          <w:sz w:val="18"/>
          <w:szCs w:val="18"/>
          <w:color w:val="auto"/>
        </w:rPr>
      </w:pPr>
    </w:p>
    <w:p>
      <w:pPr>
        <w:ind w:left="660" w:right="80" w:hanging="328"/>
        <w:spacing w:after="0" w:line="288"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NOAM Flavors sales increased 8% which included sales from Ottens Flavors and high double-digit gains in Dairy and high single-digit gains in Sweet. NOAM Fragrance sales decreased 6% in the first six months of 2015, principally due to double-digit declines in Fragrance Ingredients, Fine Fragrance and Toiletries, that were only partially offset by double-digit growth in Fabric Care and mid single-digit growth in Home Care categories.</w:t>
      </w:r>
    </w:p>
    <w:p>
      <w:pPr>
        <w:jc w:val="both"/>
        <w:ind w:left="660" w:right="36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EAME Flavors currency neutral sales growth of 7% was led by high single-digit growth in Savory and Beverage and mid single-digit growth in Sweet. EAME Fragrance currency neutral sales increased 9% overall, driven mainly by high double-digit growth in Fabric Care and Home Care categories as well as high single-digit gains in Fine Fragrance.</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currency neutral sales were up 18% driven by double-digit gains in the Beverage, Savory and Dairy and high single-digit growth in Sweet. LA Fragrances currency neutral sales increased 9% overall, principally led by high double-digit gains in Fabric Care and Home Care as well as double-digit gains in Hair Care, which more than offset double-digit declines in Personal Wash and Toiletries and low single-digit declines in Fragrance Ingredients.</w:t>
      </w:r>
    </w:p>
    <w:p>
      <w:pPr>
        <w:spacing w:after="0" w:line="1" w:lineRule="exact"/>
        <w:rPr>
          <w:rFonts w:ascii="Arial" w:cs="Arial" w:eastAsia="Arial" w:hAnsi="Arial"/>
          <w:sz w:val="18"/>
          <w:szCs w:val="18"/>
          <w:color w:val="auto"/>
        </w:rPr>
      </w:pPr>
    </w:p>
    <w:p>
      <w:pPr>
        <w:ind w:left="660" w:right="40" w:hanging="328"/>
        <w:spacing w:after="0" w:line="255"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GA Flavors had currency neutral sales growth of 5% principally from high single-digit gains in Beverage and Savory. GA Fragrances currency neutral sales growth of 2% was principally driven by high double-digit growth in Fine Fragrance as well as high single-digit growth in Toiletries and mid single-digit growth in Fragrance Ingredients and Hair Care.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Cost of goods sold, as a percentage of sales, decreased 30 bps to 55.2% in the first six months of 2015 compared to 55.5% in the 2014 period. Included in cost of goods sold was $1.4 million of charges related to operational improvement initiative costs and acquisition related costs in 2015 compared to $5.7 million of restructuring and operational improvement initiative costs in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Overall R&amp;D expenses, as a percentage of sales, remained consistent with the prior year period at 8.2% for both the first six months of 2015 and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S&amp;A expenses remained consistent at $254.9 million or 16.5%, as a percentage of sales, in the first six months of 2015 compared to 16.5% in the 2014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other charges, net, Global expenses (as discussed in Note 9 to the Consolidated Financial Statements) and</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65" w:right="25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certain non-recurring items, net, Interest expense, Other (expense) income, net and Taxes on income. See Note 9 to the Consolidated Financial Statements for the reconciliation to Income before taxes.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Six Months Ended June 30, 2015</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176,743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178,869</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161,522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172,638</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(36,303)</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310,613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309,168</w:t>
            </w:r>
          </w:p>
        </w:tc>
      </w:tr>
      <w:tr>
        <w:trPr>
          <w:trHeight w:val="67"/>
        </w:trPr>
        <w:tc>
          <w:tcPr>
            <w:tcW w:w="79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Flavors segment profit decreased approximately 1% to $176.7 million in the first six months of 2015, or 23.6% as a percentage of sales, compared to $178.9 million, or 24.1% as a percentage of sales, in the comparable 2014 period. The decrease in segment profit and profit margin was driven primarily by unfavorable foreign currency impacts, lower incentive compensation in the prior year, scale up costs of new sites in Turkey and Indonesia and other one-off costs, including incremental operating costs associated with the China Flavors facility. These costs were only partially offset by net wins, productivity initiatives and sales mix. The impact of Ottens Flavors did not significantly impact Flavors segment profit for the 2015 period.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Fragrances segment profit declined approximately 6% to $161.5 million in the first six months of 2015, or 20.4% as a percentage of sales, compared to $172.6 million, or 21.1% as a percentage of sales, in the comparable 2014 period. The decline in segment profit and profit margin was primarily due to unfavorable foreign currency impacts, which were partially offset by favorable volume growth.</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six months of 2015, Global expenses were $20.2 million compared to $36.3 million during the 2014 period. The decrease was principally driven by the favorable impact of our cash flow hedging program and lower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2014, the Company closed its fragrance ingredients manufacturing facility in Augusta, Georgia and consolidated production into other Company facilities. During the six months ended June 30, 2015, the Company recorded a net credit of $0.2 million consisting of additional plant shutdown and other related costs of $0.2 million, net of a reversal of severance accruals of $0.4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Interest expense decreased $0.6 million to $22.5 million in the first six months of 2015 compared to the 2014 period. Average cost of debt was 4.7% for the 2015 six month period compared to 4.9% for the 2014 six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Other expense (income), net increased by approximately $2.1 million to $5.3 million of income in the first six months of 2015 versus $3.2 million of income in the comparable 2014 period. The year-over-year increase is primarily driven by higher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65" w:right="259" w:bottom="144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color w:val="auto"/>
        </w:rPr>
        <w:t>levels of foreign exchange gains in 2015 compared to the 2014 period, offset by lower amounts of income related to lower mark-to-market adjustments on deferred compensation plan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effective tax rate for the six months ended June 30, 2015 was 20.4% compared with 25.0% for the six months ended June 30, 2014, primarily due to a benefit of $10.5 million recorded in the first quarter of 2015, as a result of favorable tax rulings in Spain and another jurisdiction for which reserves were previously recorded. Excluding the impact of items affecting comparability in the current period, the 2015 period adjusted effective tax rate was 23.7%, or 150 basis points lower than the 2014 period adjusted effective tax rate of 25.2%, primarily due to higher earnings from lower tax jurisdictions, lower loss provisions and lower repatriation costs in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had cash and cash equivalents of $377.3 million at June 30, 2015 compared to $478.6 million at December 31, 2014, of which $275.4 million of the balance at June 30, 2015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provided by operating activities in the first six months of 2015 were $166.3 million compared to $154.0 million in the first six months of 2014. The increase in operating cash flows for the first six months of 2015 compared to 2014 is principally driven by higher net income, lower payments for incentive compensation and higher cash inflows from core working capital (trade receivables, inventories and accounts payable), which were partially offset by higher pension contributions in the 2015 period.</w:t>
      </w:r>
    </w:p>
    <w:p>
      <w:pPr>
        <w:spacing w:after="0" w:line="133"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$1,198.7 million at June 30, 2015, compared to $1,191.2 million at December 31, 2014.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from operations from participating in these programs increased approximately $1.3 million for the six months ended June 30, 2015 compared to an increase of approximately $22.3 million for the six months ended June 30, 2014.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investing activities during the first six months of 2015 used $215.0 million compared to $143.4 million in the prior year period. The increase in cash paid for investing activities is primarily driven by the acquisition of Ottens Flavors during the second quarter of 2015. The Company acquired 100% of the outstanding shares of Ottens Flavors for approximately $188.8 million (net of cash acquired).</w:t>
      </w:r>
    </w:p>
    <w:p>
      <w:pPr>
        <w:spacing w:after="0" w:line="4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Additions to property, plant and equipment were $37.9 million during the first six months of 2015 compared to $60.2 million in the first six months of 2014. We expect additions to property, plant and equipment to approach 4-5% of our sales in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Net financing activities in the first six months of 2015 used $47.0 million compared to $89.6 million in the first six months of 2014. The decrease in cash used for financing activities principally reflects the net drawdown on the credit facility of $56 million during 2015 as compared to the 2014 period.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2015, we had $998.0 million of debt outstanding compared to $942.3 million outstanding at December 31, 2014.</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5" w:right="239" w:bottom="1440" w:gutter="0" w:footer="0" w:header="0"/>
        </w:sectPr>
      </w:pPr>
    </w:p>
    <w:bookmarkStart w:id="26" w:name="page27"/>
    <w:bookmarkEnd w:id="26"/>
    <w:p>
      <w:pPr>
        <w:ind w:right="20" w:firstLine="432"/>
        <w:spacing w:after="0" w:line="277" w:lineRule="auto"/>
        <w:rPr>
          <w:sz w:val="20"/>
          <w:szCs w:val="20"/>
          <w:color w:val="auto"/>
        </w:rPr>
      </w:pPr>
      <w:r>
        <w:rPr>
          <w:rFonts w:ascii="Arial" w:cs="Arial" w:eastAsia="Arial" w:hAnsi="Arial"/>
          <w:sz w:val="18"/>
          <w:szCs w:val="18"/>
          <w:color w:val="auto"/>
        </w:rPr>
        <w:t>We paid dividends totaling $75.9 million in the 2015 period. We declared a cash dividend per share of $0.47 in the second quarter of 2015 that was paid on July 7, 2015 to all shareholders of record as of June 26, 2015.</w:t>
      </w:r>
    </w:p>
    <w:p>
      <w:pPr>
        <w:spacing w:after="0" w:line="116"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Based on the total remaining amount of $70.1 million available under the repurchase program, approximately 0.6 million shares, or 0.8% of shares outstanding (based on the market price and shares outstanding as of June 30, 2015) could be repurchased under the program as of June 30, 2015. The purchases will be made from time to time on the open market or through private transactions as market and business conditions warrant. Repurchased shares will be placed into treasury stock. During the three months ended June 30, 2015, we repurchased 247,174 shares on the open market at an aggregate cost of $28.2 million or an average of $113.90 per share. During the six months ended June 30, 2015, we repurchased 345,287 shares on the open market at an aggregate cost of $38.8 million or an average of $112.41 per share. We expect total purchases during 2015 to be in line with or moderately higher than total purchases made during 2014. The ultimate level of purchases will be a function of the daily purchase limits established in the pre-approved program according to the share price at that time. In August 2015, the Board of Directors approved an additional $250 million share repurchase authorization and extension through December 31, 2017, and increased our quarterly dividend for the third quarter of 2015 by 20%, to $0.56 per share.</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six months of 2015 or 2014.</w:t>
      </w:r>
    </w:p>
    <w:p>
      <w:pPr>
        <w:spacing w:after="0" w:line="116"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We expect to contribute a total of approximately $30 million to our non-U.S. pension plans during 2015. During the six months ended June 30, 2015, $35.0 million of contributions were made to our qualified U.S. pension plans. For the six months ended June 30, 2015, we have contributed $22.5 million related to our non-U.S. pension plans and $2.1 million related to our non-qualified U.S. pension plans.</w:t>
      </w:r>
    </w:p>
    <w:p>
      <w:pPr>
        <w:spacing w:after="0" w:line="46" w:lineRule="exact"/>
        <w:rPr>
          <w:sz w:val="20"/>
          <w:szCs w:val="20"/>
          <w:color w:val="auto"/>
        </w:rPr>
      </w:pPr>
    </w:p>
    <w:p>
      <w:pPr>
        <w:jc w:val="both"/>
        <w:ind w:right="240" w:firstLine="405"/>
        <w:spacing w:after="0" w:line="277" w:lineRule="auto"/>
        <w:rPr>
          <w:sz w:val="20"/>
          <w:szCs w:val="20"/>
          <w:color w:val="auto"/>
        </w:rPr>
      </w:pPr>
      <w:r>
        <w:rPr>
          <w:rFonts w:ascii="Arial" w:cs="Arial" w:eastAsia="Arial" w:hAnsi="Arial"/>
          <w:sz w:val="18"/>
          <w:szCs w:val="18"/>
          <w:color w:val="auto"/>
        </w:rPr>
        <w:t>During the second quarter of 2015, the Company acquired Ottens Flavors for approximately $188.8 million (net of cash acquired), which was funded from existing resources.</w:t>
      </w:r>
    </w:p>
    <w:p>
      <w:pPr>
        <w:spacing w:after="0" w:line="116"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On July 30, 2015, we completed the acquisition of 100% of the outstanding shares of Lucas Meyer Cosmetics, a business of Unipex Group, ("Lucas Meyer") for approximately Euro 283 million ($311 million). (The total shares acquired include shares effectively acquired pursuant to put and call option agreements). This acquisition is not expected to have a material impact on the consolidated financial statements.</w:t>
      </w:r>
    </w:p>
    <w:p>
      <w:pPr>
        <w:spacing w:after="0" w:line="193"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June 30, 2015 our covenant compliance provided overall borrowing capacity of $1,659 million.</w:t>
      </w:r>
    </w:p>
    <w:p>
      <w:pPr>
        <w:spacing w:after="0" w:line="127"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As of June 30, 2015 we had $55 million of borrowings under our revolving credit facility. The amount which we are able to draw down on under the facility is limited by financial covenants as described in more detail below. Our drawdown capacity on the facility was $923.1 million at June 30, 2015.</w:t>
      </w:r>
    </w:p>
    <w:p>
      <w:pPr>
        <w:spacing w:after="0" w:line="7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color w:val="auto"/>
        </w:rPr>
        <w:t xml:space="preserve">At June 30, 2015, we were in compliance with all financial and other covenants, including the net debt to adjusted EBITDA ratio. At June 30, 2015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0.88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7" w:name="page28"/>
    <w:bookmarkEnd w:id="27"/>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652"/>
              <w:spacing w:after="0"/>
              <w:rPr>
                <w:sz w:val="20"/>
                <w:szCs w:val="20"/>
                <w:color w:val="auto"/>
              </w:rPr>
            </w:pPr>
            <w:r>
              <w:rPr>
                <w:rFonts w:ascii="Arial" w:cs="Arial" w:eastAsia="Arial" w:hAnsi="Arial"/>
                <w:sz w:val="14"/>
                <w:szCs w:val="14"/>
                <w:i w:val="1"/>
                <w:iCs w:val="1"/>
                <w:color w:val="auto"/>
              </w:rPr>
              <w:t>Twelve Months Ended June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377.5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45.5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45.8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81.4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95.9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0.8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0.4</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19.3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23.1</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700.1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671.5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June 30, 2015 of $0.8 million consist of restructuring charges.</w:t>
      </w:r>
    </w:p>
    <w:p>
      <w:pPr>
        <w:spacing w:after="0" w:line="23" w:lineRule="exact"/>
        <w:rPr>
          <w:rFonts w:ascii="Arial" w:cs="Arial" w:eastAsia="Arial" w:hAnsi="Arial"/>
          <w:sz w:val="18"/>
          <w:szCs w:val="18"/>
          <w:i w:val="1"/>
          <w:iCs w:val="1"/>
          <w:color w:val="auto"/>
        </w:rPr>
      </w:pPr>
    </w:p>
    <w:p>
      <w:pPr>
        <w:ind w:left="340" w:right="140" w:hanging="332"/>
        <w:spacing w:after="0" w:line="277" w:lineRule="auto"/>
        <w:tabs>
          <w:tab w:leader="none" w:pos="34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Non-cash items, defined as part of Adjusted EBITDA in the terms of the Company’s credit facility agreement dated November 9, 2011 and amended and restated on April 4, 2014, represent all other adjustments to reconcile net income to net cash provided by operations as presented on the Statement of Cash Flows, including gain on disposal of assets, stock-based compensation and pension settlement/curtailment.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June 30,</w:t>
            </w:r>
          </w:p>
        </w:tc>
        <w:tc>
          <w:tcPr>
            <w:tcW w:w="116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998.0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935.7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(377.3)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(326.9)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616.5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602.7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discussed in Note 13 to the Consolidated Financial Statements, at June 30, 2015,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Odor Matter</w:t>
      </w:r>
    </w:p>
    <w:p>
      <w:pPr>
        <w:spacing w:after="0" w:line="9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 has been notified by Chinese authorities of compliance issues pertaining to the emission of odors from several of its plants in China. The Company has been addressing these issues by making investments in additional odor-abatement equipment.</w:t>
      </w:r>
    </w:p>
    <w:p>
      <w:pPr>
        <w:spacing w:after="0" w:line="3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Company’s Flavors facility in China was temporarily idled and another facility is currently operating at a reduced workload. The Company is also making additional odor-abatement investments across all of its China facilities while it continues to work with the various authorities in China. To meet production requirements, the Company has moved a portion of its Chinese Flavors production to other IFF and third party facilities. 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This Quarterly Report includes “forward-looking statements” under the Federal Private Securities Litigation Reform Act of 1995, including statements regarding our expectations concerning (i) our Vision 2020 strategy and its impact on our ability to meet long-term financial growth targets in 2015 and in 2016 to 2020, (ii) our competitive position in the market and financial performance in 2015, (iii) expected cost pressures in 2015, (iv) capital spending in 2015, (v) cash flows to fund future</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52" w:right="259" w:bottom="1440" w:gutter="0" w:footer="0" w:header="0"/>
        </w:sectPr>
      </w:pPr>
    </w:p>
    <w:bookmarkStart w:id="28" w:name="page29"/>
    <w:bookmarkEnd w:id="28"/>
    <w:p>
      <w:pPr>
        <w:spacing w:after="0" w:line="270" w:lineRule="auto"/>
        <w:rPr>
          <w:sz w:val="20"/>
          <w:szCs w:val="20"/>
          <w:color w:val="auto"/>
        </w:rPr>
      </w:pPr>
      <w:r>
        <w:rPr>
          <w:rFonts w:ascii="Arial" w:cs="Arial" w:eastAsia="Arial" w:hAnsi="Arial"/>
          <w:sz w:val="17"/>
          <w:szCs w:val="17"/>
          <w:color w:val="auto"/>
        </w:rPr>
        <w:t>operations and to meet debt service requirements, (vi) expected share repurchases and expected payout ratio in 2015, (vii) our plans and intentions to indefinitely reinvest undistributed foreign earnings in our foreign subsidiaries to fund local operations and/or capital projects and (viii) the ultimate resolution of pending tax matters with the Spanish and Brazilian tax authorities.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263"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reinvest undistributed foreign earnings in our foreign subsidiaries to fund local operations and/or capital projects;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execute acquisitions, collaborations and joint ventures;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manage unanticipated costs and other adverse financial impact in connection with our acquisitions, collaborations and joint ventures;</w:t>
      </w:r>
    </w:p>
    <w:p>
      <w:pPr>
        <w:spacing w:after="0" w:line="32" w:lineRule="exact"/>
        <w:rPr>
          <w:rFonts w:ascii="Arial" w:cs="Arial" w:eastAsia="Arial" w:hAnsi="Arial"/>
          <w:sz w:val="16"/>
          <w:szCs w:val="16"/>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decline in consumer confidence and spending;</w:t>
      </w:r>
    </w:p>
    <w:p>
      <w:pPr>
        <w:spacing w:after="0" w:line="9" w:lineRule="exact"/>
        <w:rPr>
          <w:rFonts w:ascii="Arial" w:cs="Arial" w:eastAsia="Arial" w:hAnsi="Arial"/>
          <w:sz w:val="18"/>
          <w:szCs w:val="18"/>
          <w:color w:val="auto"/>
        </w:rPr>
      </w:pPr>
    </w:p>
    <w:p>
      <w:pPr>
        <w:ind w:left="540" w:right="20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the achievement of anticipated cost savings, profitability, realization of price increases and growth targets;</w:t>
      </w:r>
    </w:p>
    <w:p>
      <w:pPr>
        <w:ind w:left="540" w:right="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our Vision 2020 strategy, including building differentiation and accelerating profitable growth to achieve long-term financial targets in 2015 and in 2016 to 2020;</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new and competitive products that appeal to its customers and consumers;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manage inventory and working capital;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our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our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our cash flow and results of operations;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optimize our manufacturing facilities, including the achievement of expected cost savings and increased efficiencies;</w:t>
      </w:r>
    </w:p>
    <w:p>
      <w:pPr>
        <w:spacing w:after="0" w:line="9" w:lineRule="exact"/>
        <w:rPr>
          <w:rFonts w:ascii="Arial" w:cs="Arial" w:eastAsia="Arial" w:hAnsi="Arial"/>
          <w:sz w:val="18"/>
          <w:szCs w:val="18"/>
          <w:color w:val="auto"/>
        </w:rPr>
      </w:pPr>
    </w:p>
    <w:p>
      <w:pPr>
        <w:ind w:left="540" w:right="6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us, our operations or our representatives by U.S. and foreign governments;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540" w:right="400" w:hanging="316"/>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quickly and effectively implement our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665" w:right="27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color w:val="auto"/>
        </w:rPr>
        <w:t>or in company press releases) for other factors that may cause actual results to differ materially from those projected by the Company. Please refer to Part I. Item 1A., Risk Factors, of the 2014 Form 10-K for additional information regarding factors that could affect our results of operations, financial condition and cash flow.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the acquisition related costs, operational improvement initiative costs, restructuring charges and tax settlements), and (iii) adjusted effective tax rate (which excludes acquisition related costs, operational improvement initiative costs, restructuring charges and tax settlements).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A. Foreign Currency Reconciliation</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8"/>
        </w:trPr>
        <w:tc>
          <w:tcPr>
            <w:tcW w:w="4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Three Months Ended June 30, 2015</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Six Months Ended June 30, 2015</w:t>
            </w:r>
          </w:p>
        </w:tc>
      </w:tr>
      <w:tr>
        <w:trPr>
          <w:trHeight w:val="27"/>
        </w:trPr>
        <w:tc>
          <w:tcPr>
            <w:tcW w:w="4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Operating Profit</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Operating Profit</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306"/>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8%</w:t>
            </w:r>
          </w:p>
        </w:tc>
      </w:tr>
      <w:tr>
        <w:trPr>
          <w:trHeight w:val="252"/>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w:t>
            </w: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Adjusted (Non-GAAP)**</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9%</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0" w:right="20" w:firstLine="2"/>
        <w:spacing w:after="0" w:line="250" w:lineRule="auto"/>
        <w:tabs>
          <w:tab w:leader="none" w:pos="31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items impacting comparability of $6.5 million and $7.5 for the three and six months ended June 30, 2015, respectively and includes $3.3 million and $6.0 million of items impacting comparability for the three and six months ended June 30, 2014, respectively.</w:t>
      </w:r>
    </w:p>
    <w:p>
      <w:pPr>
        <w:ind w:left="60"/>
        <w:spacing w:after="0"/>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amounts at the exchange rates used for the corresponding 2015 period.</w:t>
      </w:r>
    </w:p>
    <w:p>
      <w:pPr>
        <w:spacing w:after="0" w:line="206"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0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Months Ended June 30, 2015</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Six Months Ended June 30, 2015</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Ottens Flavors</w:t>
            </w:r>
          </w:p>
        </w:tc>
        <w:tc>
          <w:tcPr>
            <w:tcW w:w="374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2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rPr>
              <w:t>$1.2</w:t>
            </w:r>
          </w:p>
        </w:tc>
      </w:tr>
      <w:tr>
        <w:trPr>
          <w:trHeight w:val="864"/>
        </w:trPr>
        <w:tc>
          <w:tcPr>
            <w:tcW w:w="4060" w:type="dxa"/>
            <w:vAlign w:val="bottom"/>
          </w:tcPr>
          <w:p>
            <w:pPr>
              <w:spacing w:after="0"/>
              <w:rPr>
                <w:sz w:val="24"/>
                <w:szCs w:val="24"/>
                <w:color w:val="auto"/>
              </w:rPr>
            </w:pPr>
          </w:p>
        </w:tc>
        <w:tc>
          <w:tcPr>
            <w:tcW w:w="3740" w:type="dxa"/>
            <w:vAlign w:val="bottom"/>
          </w:tcPr>
          <w:p>
            <w:pPr>
              <w:jc w:val="right"/>
              <w:ind w:right="18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00"/>
          </w:cols>
          <w:pgMar w:left="240" w:top="746"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2014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823" w:right="339" w:bottom="1440" w:gutter="0" w:footer="0" w:header="0"/>
        </w:sectPr>
      </w:pPr>
    </w:p>
    <w:bookmarkStart w:id="31" w:name="page32"/>
    <w:bookmarkEnd w:id="31"/>
    <w:p>
      <w:pPr>
        <w:jc w:val="both"/>
        <w:ind w:right="4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2015 that have materially affected, or are reasonably likely to materially affect, our internal control over financial reporting.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Prior to June 30, 2015, we were a party to dividend withholding tax controversies in Spain. As of June 30, 2015, the three dividend withholding tax controversies in Spain have now been resolved. The Company made total payments of Euro 4.5 million ($4.9 million) during the second quarter of 2015 related to the resolution of these three controversies.</w:t>
      </w:r>
    </w:p>
    <w:p>
      <w:pPr>
        <w:spacing w:after="0" w:line="12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mid 2016.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2" w:name="page33"/>
    <w:bookmarkEnd w:id="32"/>
    <w:p>
      <w:pPr>
        <w:spacing w:after="0" w:line="209" w:lineRule="auto"/>
        <w:framePr w:w="2000" w:h="160" w:wrap="auto" w:vAnchor="page" w:hAnchor="page" w:x="1280" w:y="7070"/>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280" w:y="7340"/>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7610"/>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second quarter of 2015.</w:t>
      </w:r>
    </w:p>
    <w:p>
      <w:pPr>
        <w:spacing w:after="0" w:line="33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1 - 30, 2015</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22,259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95,657,211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May 1 - 31, 2015</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44,125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116.65</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44,125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90,510,231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1 - 30, 2015</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180,790</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180,790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70,120,414</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247,174</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113.90</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247,174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70,120,414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326"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8880" w:type="dxa"/>
            <w:vAlign w:val="bottom"/>
          </w:tcPr>
          <w:p>
            <w:pPr>
              <w:spacing w:after="0"/>
              <w:rPr>
                <w:sz w:val="17"/>
                <w:szCs w:val="17"/>
                <w:color w:val="auto"/>
              </w:rPr>
            </w:pPr>
          </w:p>
        </w:tc>
      </w:tr>
      <w:tr>
        <w:trPr>
          <w:trHeight w:val="642"/>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1"/>
              </w:rPr>
              <w:t>Form of Equity Choice Program Award Agreement under the International Flavors &amp; Fragrances 2015 Stock Award and Incentive Plan</w:t>
            </w: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rFonts w:ascii="Arial" w:cs="Arial" w:eastAsia="Arial" w:hAnsi="Arial"/>
          <w:sz w:val="16"/>
          <w:szCs w:val="16"/>
          <w:color w:val="auto"/>
        </w:rPr>
      </w:pPr>
    </w:p>
    <w:p>
      <w:pPr>
        <w:ind w:left="1080" w:right="320" w:hanging="1045"/>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Alison A.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Alison A. Cornell</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80"/>
          </w:cols>
          <w:pgMar w:left="240" w:top="580" w:right="879" w:bottom="1440" w:gutter="0" w:footer="0" w:header="0"/>
        </w:sectPr>
      </w:pPr>
    </w:p>
    <w:bookmarkStart w:id="34" w:name="page35"/>
    <w:bookmarkEnd w:id="34"/>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94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jc w:val="right"/>
              <w:ind w:right="94"/>
              <w:spacing w:after="0"/>
              <w:rPr>
                <w:sz w:val="20"/>
                <w:szCs w:val="20"/>
                <w:color w:val="auto"/>
              </w:rPr>
            </w:pPr>
            <w:r>
              <w:rPr>
                <w:rFonts w:ascii="Arial" w:cs="Arial" w:eastAsia="Arial" w:hAnsi="Arial"/>
                <w:sz w:val="14"/>
                <w:szCs w:val="14"/>
                <w:color w:val="auto"/>
              </w:rPr>
              <w:t>Number</w:t>
            </w:r>
          </w:p>
        </w:tc>
        <w:tc>
          <w:tcPr>
            <w:tcW w:w="994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10.1</w:t>
            </w: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Form of Equity Choice Program Award Agreement under the International Flavors &amp; Fragrances 2015 Stock Award and Incentive Plan</w:t>
            </w:r>
          </w:p>
        </w:tc>
      </w:tr>
      <w:tr>
        <w:trPr>
          <w:trHeight w:val="486"/>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840" w:type="dxa"/>
            <w:vAlign w:val="bottom"/>
          </w:tcPr>
          <w:p>
            <w:pPr>
              <w:jc w:val="right"/>
              <w:ind w:right="434"/>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200"/>
              <w:spacing w:after="0"/>
              <w:rPr>
                <w:sz w:val="20"/>
                <w:szCs w:val="20"/>
                <w:color w:val="auto"/>
              </w:rPr>
            </w:pPr>
            <w:r>
              <w:rPr>
                <w:rFonts w:ascii="Arial" w:cs="Arial" w:eastAsia="Arial" w:hAnsi="Arial"/>
                <w:sz w:val="18"/>
                <w:szCs w:val="18"/>
                <w:color w:val="auto"/>
              </w:rPr>
              <w:t>Certification of Alison A. Cornell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42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5"/>
          </w:cols>
          <w:pgMar w:left="275" w:top="580" w:right="55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10, 2015</w:t>
      </w:r>
    </w:p>
    <w:p>
      <w:pPr>
        <w:spacing w:after="0" w:line="63"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Alison A. Cornell, certify that:</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10, 2015</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Alison A. Cornell</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Alison A. Cornell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2015 as filed with the Securities and Exchange Commission on the date hereof (the "Report"), Andreas Fibig, as Chief Executive Officer, and Alison A. Cornell,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10, 2015</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Alison A. Cornell</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Alison A. Cornell</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10, 2015</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lvl w:ilvl="1">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upperLetter"/>
      <w:start w:val="1"/>
    </w:lvl>
    <w:lvl w:ilvl="1">
      <w:lvlJc w:val="left"/>
      <w:lvlText w:val="(%2)"/>
      <w:numFmt w:val="decimal"/>
      <w:start w:val="1"/>
    </w:lvl>
  </w:abstractNum>
  <w:abstractNum w:abstractNumId="17">
    <w:nsid w:val="628C895D"/>
    <w:multiLevelType w:val="hybridMultilevel"/>
    <w:lvl w:ilvl="0">
      <w:lvlJc w:val="left"/>
      <w:lvlText w:val="%1."/>
      <w:numFmt w:val="upperLetter"/>
      <w:start w:val="2"/>
    </w:lvl>
    <w:lvl w:ilvl="1">
      <w:lvlJc w:val="left"/>
      <w:lvlText w:val="%2"/>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2019-12-05T11:17:43Z</dcterms:created>
  <dcterms:modified xsi:type="dcterms:W3CDTF">2019-12-05T11:17:43Z</dcterms:modified>
</cp:coreProperties>
</file>