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5"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720" w:hanging="685"/>
        <w:spacing w:after="0" w:line="226" w:lineRule="auto"/>
        <w:tabs>
          <w:tab w:leader="none" w:pos="72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16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jc w:val="center"/>
        <w:ind w:left="28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88" w:lineRule="exact"/>
        <w:rPr>
          <w:sz w:val="24"/>
          <w:szCs w:val="24"/>
          <w:color w:val="auto"/>
        </w:rPr>
      </w:pPr>
    </w:p>
    <w:p>
      <w:pPr>
        <w:ind w:left="40"/>
        <w:spacing w:after="0" w:line="207" w:lineRule="exact"/>
        <w:tabs>
          <w:tab w:leader="none" w:pos="2440" w:val="left"/>
          <w:tab w:leader="none" w:pos="846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347" w:lineRule="exact"/>
        <w:rPr>
          <w:sz w:val="24"/>
          <w:szCs w:val="24"/>
          <w:color w:val="auto"/>
        </w:rPr>
      </w:pPr>
    </w:p>
    <w:p>
      <w:pPr>
        <w:ind w:left="40"/>
        <w:spacing w:after="0" w:line="207" w:lineRule="exact"/>
        <w:tabs>
          <w:tab w:leader="none" w:pos="2440" w:val="left"/>
          <w:tab w:leader="none" w:pos="846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p>
    <w:p>
      <w:pPr>
        <w:spacing w:after="0" w:line="198" w:lineRule="exact"/>
        <w:rPr>
          <w:sz w:val="24"/>
          <w:szCs w:val="24"/>
          <w:color w:val="auto"/>
        </w:rPr>
      </w:pPr>
    </w:p>
    <w:p>
      <w:pPr>
        <w:ind w:right="20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April 22, 2014: 81,289,929</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2014</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2013</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405,505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$10,703 and $10,493, respectively)</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574,678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524,493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252,457</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16,413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285,089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274,691</w:t>
            </w:r>
          </w:p>
        </w:tc>
        <w:tc>
          <w:tcPr>
            <w:tcW w:w="0" w:type="dxa"/>
            <w:vAlign w:val="bottom"/>
          </w:tcPr>
          <w:p>
            <w:pPr>
              <w:spacing w:after="0"/>
              <w:rPr>
                <w:sz w:val="1"/>
                <w:szCs w:val="1"/>
                <w:color w:val="auto"/>
              </w:rPr>
            </w:pP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552,116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533,806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40,189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144,079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148,910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1,652,903</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1,805,336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1,757,983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(1,109,102)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(1,070,768)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696,234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687,215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676,051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665,582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83,265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30,615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141,077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140,979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3,321,353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3,331,731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226,733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46,356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105,816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31,740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Restructuring and other charges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193,812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484,541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560,366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931,635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932,665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40,610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41,339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238,225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105,322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92,085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1,315,874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1,304,314</w:t>
            </w:r>
          </w:p>
        </w:tc>
        <w:tc>
          <w:tcPr>
            <w:tcW w:w="0" w:type="dxa"/>
            <w:vAlign w:val="bottom"/>
          </w:tcPr>
          <w:p>
            <w:pPr>
              <w:spacing w:after="0"/>
              <w:rPr>
                <w:sz w:val="1"/>
                <w:szCs w:val="1"/>
                <w:color w:val="auto"/>
              </w:rPr>
            </w:pP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12)</w:t>
            </w: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Common stock 12 1/2¢ par value; authorized 500,000,000 shares; issued 115,761,840 shares as of March 31,</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3"/>
              </w:rPr>
              <w:t>2014 and December 31, 2013; and outstanding 81,221,844 and 81,384,246 shares as of March 31, 2014 and</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December 31, 2013</w:t>
            </w:r>
          </w:p>
        </w:tc>
        <w:tc>
          <w:tcPr>
            <w:tcW w:w="240" w:type="dxa"/>
            <w:vAlign w:val="bottom"/>
          </w:tcPr>
          <w:p>
            <w:pPr>
              <w:spacing w:after="0"/>
              <w:rPr>
                <w:sz w:val="17"/>
                <w:szCs w:val="17"/>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131,461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3,150,688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3,075,657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(392,711)</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3"/>
              </w:rPr>
              <w:t>Treasury stock, at cost - 34,539,996 shares as of March 31, 2014 and 34,377,594 shares as of December 31,</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2013</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(1,383,341)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(1,365,805)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1,463,072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1,467,051</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3,321,353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3,331,731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638"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638"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770,224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727,836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428,812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416,476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123,733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114,653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11,152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142,933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127,523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106,707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90,697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derivatives qualifying as hedges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5,132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102,136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95,927</w:t>
            </w:r>
          </w:p>
        </w:tc>
      </w:tr>
      <w:tr>
        <w:trPr>
          <w:trHeight w:val="67"/>
        </w:trPr>
        <w:tc>
          <w:tcPr>
            <w:tcW w:w="83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82,024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91440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96"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106,707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90,697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22,830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19,405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12,232</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Aromor acquisition:</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(34,448)</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18,208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(29,339)</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(62,282)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(43,178)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(6,766)</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3,531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34,993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18,719</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w w:val="95"/>
              </w:rPr>
              <w:t>Cash paid for acquisition, net of cash received (including $15 million of contingent consideration)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(102,400)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(29,861)</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termination of life insurance contracts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(28,334)</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744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(14,242)</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(49,328)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(11,880)</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(136,921)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405,505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324,422</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268,584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300,046</w:t>
            </w:r>
          </w:p>
        </w:tc>
      </w:tr>
      <w:tr>
        <w:trPr>
          <w:trHeight w:val="67"/>
        </w:trPr>
        <w:tc>
          <w:tcPr>
            <w:tcW w:w="77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22,167</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18,681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21,317</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their related notes and management’s discussion and analysis of results of operations, liquidity and capital resources included in our 2013 Annual Report on Form 10-K (“2013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March 31 and December 31 are used consistently throughout this Form 10-Q and these interim financial statements and related notes to represent the period-end dates. For the 2014 and 2013 quarters, the actual closing dates were March 28 and March 29,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March 2013, the Financial Accounting Standards Board (“FASB”) issued authoritative guidance clarifying the accounting for the release of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The guidance is effective prospectively for reporting periods beginning after December 15, 2013. The adoption of this statement did not have a significant impact on our financial position, results of operations or cash flows.</w:t>
      </w:r>
    </w:p>
    <w:p>
      <w:pPr>
        <w:spacing w:after="0" w:line="13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In July 2013, the FASB issued authoritative guidance related to the financial statement presentation of unrecognized tax benefits. This update clarifies that an unrecognized tax benefit, or a portion of an unrecognized tax benefit, should be presented in the financial statements as a reduction to a deferred tax asset for a net operating loss carryforward, a similar tax loss, or a tax credit carryforward, except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In such situations, the unrecognized tax benefit should be presented in the financial statements as a liability and should not be combined with deferred tax assets. The guidance is effective prospectively for reporting periods beginning after December 15, 2013. The adoption of this statement did not have a significant impact on our financial position, results of operations or cash flows.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81,053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5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49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81,732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82,024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There were no stock options and stock settled appreciation rights (“SSARs”) excluded from the computation of diluted net income per share for the three months ended March 31, 2014 and 2013.</w:t>
      </w:r>
    </w:p>
    <w:p>
      <w:pPr>
        <w:spacing w:after="0" w:line="116"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Company has issued shares of purchased restricted common stock (“PRS”) which contain rights to nonforfeitable dividends while these shares are outstanding and thus are considered participating securities which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 shareholders was less than $0.01 per share for each period presented and the number of PRS outstanding as of March 31, 2014 and 2013 was immaterial (approximately 0.7% of the total number of common shares outstanding as of</w:t>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5" w:name="page6"/>
    <w:bookmarkEnd w:id="5"/>
    <w:p>
      <w:pPr>
        <w:ind w:right="300"/>
        <w:spacing w:after="0" w:line="277" w:lineRule="auto"/>
        <w:rPr>
          <w:sz w:val="20"/>
          <w:szCs w:val="20"/>
          <w:color w:val="auto"/>
        </w:rPr>
      </w:pPr>
      <w:r>
        <w:rPr>
          <w:rFonts w:ascii="Arial" w:cs="Arial" w:eastAsia="Arial" w:hAnsi="Arial"/>
          <w:sz w:val="18"/>
          <w:szCs w:val="18"/>
          <w:color w:val="auto"/>
        </w:rPr>
        <w:t>March 31, 2014 and 2013). Net income allocated to such PRS was $0.7 million and $0.6 million during the three months ended March 31, 2014 and 2013,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Other Charges,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Fragrance Ingredients Rationalization</w:t>
      </w:r>
    </w:p>
    <w:p>
      <w:pPr>
        <w:spacing w:after="0" w:line="9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During the second quarter of 2013, the Company announced that it intends to close its fragrance ingredients manufacturing facility in Augusta, Georgia by July 2014 and plans to consolidate production into other Company facilities. In connection with this closure, the Company expects to incur charges of $16</w:t>
      </w:r>
    </w:p>
    <w:p>
      <w:pPr>
        <w:ind w:right="20" w:firstLine="8"/>
        <w:spacing w:after="0" w:line="269" w:lineRule="auto"/>
        <w:tabs>
          <w:tab w:leader="none" w:pos="105" w:val="left"/>
        </w:tabs>
        <w:numPr>
          <w:ilvl w:val="0"/>
          <w:numId w:val="3"/>
        </w:numPr>
        <w:rPr>
          <w:rFonts w:ascii="Arial" w:cs="Arial" w:eastAsia="Arial" w:hAnsi="Arial"/>
          <w:sz w:val="17"/>
          <w:szCs w:val="17"/>
          <w:color w:val="auto"/>
        </w:rPr>
      </w:pPr>
      <w:r>
        <w:rPr>
          <w:rFonts w:ascii="Arial" w:cs="Arial" w:eastAsia="Arial" w:hAnsi="Arial"/>
          <w:sz w:val="17"/>
          <w:szCs w:val="17"/>
          <w:color w:val="auto"/>
        </w:rPr>
        <w:t>$21 million, consisting primarily of $10 - $12 million in accelerated depreciation of fixed assets, $3 - $4 million in personnel-related costs and $3 - $5 million in plant shutdown and other related costs. The Company recorded total charges of $7.4 million during 2013, consisting of $2.2 million of pre-tax charges related to severance included in Restructuring and other charges, net and $5.2 million of non-cash charges related to accelerated depreciation included in Cost of goods sold. During the first quarter of 2014, the Company recorded an additional $0.1 million of severance costs included in Restructuring and other charges, net and $2.3 million of non-cash charges related to accelerated depreciation included in Cost of goods sold. The remainder of the estimated costs is expected to be recognized over the following quarter. The Company expects that 43 positions will be eliminated as a result of these decisions. The Company estimates that approximately $6 - $9 million of the costs will result in future cash expenditures.</w:t>
      </w:r>
    </w:p>
    <w:p>
      <w:pPr>
        <w:spacing w:after="0" w:line="4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Changes in employee-related restructuring liabilities during the three months ended March 31, 2014 related to the Fragrance Ingredients Rationalization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6054725"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54725" cy="20574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5472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4725"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05472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5472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05472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5472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Intangible Assets,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intangible assets, net consist of the following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Employee-Related</w:t>
            </w:r>
          </w:p>
        </w:tc>
        <w:tc>
          <w:tcPr>
            <w:tcW w:w="18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w w:val="96"/>
              </w:rPr>
              <w:t>Accelerated</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1"/>
        </w:trPr>
        <w:tc>
          <w:tcPr>
            <w:tcW w:w="14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Costs</w:t>
            </w:r>
          </w:p>
        </w:tc>
        <w:tc>
          <w:tcPr>
            <w:tcW w:w="18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2"/>
              </w:rPr>
              <w:t>Depreciation</w:t>
            </w:r>
          </w:p>
        </w:tc>
        <w:tc>
          <w:tcPr>
            <w:tcW w:w="360" w:type="dxa"/>
            <w:vAlign w:val="bottom"/>
          </w:tcPr>
          <w:p>
            <w:pPr>
              <w:spacing w:after="0"/>
              <w:rPr>
                <w:sz w:val="21"/>
                <w:szCs w:val="21"/>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4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2,116</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2,250</w:t>
            </w:r>
          </w:p>
        </w:tc>
        <w:tc>
          <w:tcPr>
            <w:tcW w:w="3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2,372</w:t>
            </w:r>
          </w:p>
        </w:tc>
      </w:tr>
      <w:tr>
        <w:trPr>
          <w:trHeight w:val="270"/>
        </w:trPr>
        <w:tc>
          <w:tcPr>
            <w:tcW w:w="14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(2,250)</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70"/>
        </w:trPr>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2,116</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9" w:lineRule="exact"/>
        <w:rPr>
          <w:sz w:val="20"/>
          <w:szCs w:val="20"/>
          <w:color w:val="auto"/>
        </w:rPr>
      </w:pPr>
    </w:p>
    <w:p>
      <w:pPr>
        <w:sectPr>
          <w:pgSz w:w="11900" w:h="16838" w:orient="portrait"/>
          <w:cols w:equalWidth="0" w:num="2">
            <w:col w:w="4820" w:space="180"/>
            <w:col w:w="6420"/>
          </w:cols>
          <w:pgMar w:left="240" w:top="746" w:right="239" w:bottom="1440" w:gutter="0" w:footer="0" w:header="0"/>
          <w:type w:val="continuous"/>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March 31,</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Gross carrying value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219,004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165,406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(134,791)</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83,265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30,615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patents, trademarks, technological know-how and other intellectual property, valued at acquisition.</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January 15, 2014, the Company completed the acquisition of 100% of the equity of Aromor Flavors and Fragrances Ltd. ("Aromor"), a privately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held manufacturer and marketer of complex specialty ingredients that are used in fragrances and flavors. The acquisition was accounted for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purchase method. The Company paid $102.5 million (including $0.1 million of cash acquired) for this acquisition, which was funded out of existing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resources. Aromor is part of the IFF Fragrances Ingredients business and was acquired in order to strengthen this business and provide cost-effective quality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materials for use in our formula creations. The purchase price exceeded the carrying value of existing net assets by approximately $56 million. The excess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allocated principally to identifiable intangible assets (approximately $53 million), goodwill (approximately $10 million) and approximately $9 million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tax liabilities. Separately identifiable intangible assets are principally related to technological know-how. Additionally, the consideration included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related to post-combination contingent consideration, held in escrow. This amount has been escrowed and will be expensed by the Company as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earned by the selling shareholders over three years based upon the continued participation in the acquired business of certain key personnel.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allocation is preliminary pending final valuations and is expected to be completed by the second quarter of 2014, with the assignment of final values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various intangible assets. No pro forma financial information for 2013 is presented as the impact of the acquisition is immaterial.</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type w:val="continuous"/>
        </w:sectPr>
      </w:pPr>
    </w:p>
    <w:bookmarkStart w:id="6" w:name="page7"/>
    <w:bookmarkEnd w:id="6"/>
    <w:p>
      <w:pPr>
        <w:ind w:right="240" w:firstLine="405"/>
        <w:spacing w:after="0" w:line="264" w:lineRule="auto"/>
        <w:rPr>
          <w:sz w:val="20"/>
          <w:szCs w:val="20"/>
          <w:color w:val="auto"/>
        </w:rPr>
      </w:pPr>
      <w:r>
        <w:rPr>
          <w:rFonts w:ascii="Arial" w:cs="Arial" w:eastAsia="Arial" w:hAnsi="Arial"/>
          <w:sz w:val="18"/>
          <w:szCs w:val="18"/>
          <w:color w:val="auto"/>
        </w:rPr>
        <w:t>Amortization expense was $1.2 million for the three months ended March 31, 2014 and $1.5 million for the three months ended March 31, 2013. Annual amortization is expected to be $5.4 million for the year 2014, $5.4 million for the years 2015 through 2017, $5.3 million for the year 2018 and $4.6 million for the year 2019. The above amounts are still subject to final purchase price allocations.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gridSpan w:val="2"/>
            <w:shd w:val="clear" w:color="auto" w:fill="CCEEFF"/>
          </w:tcPr>
          <w:p>
            <w:pPr>
              <w:ind w:left="680"/>
              <w:spacing w:after="0"/>
              <w:rPr>
                <w:sz w:val="20"/>
                <w:szCs w:val="20"/>
                <w:color w:val="auto"/>
              </w:rPr>
            </w:pPr>
            <w:r>
              <w:rPr>
                <w:rFonts w:ascii="Arial" w:cs="Arial" w:eastAsia="Arial" w:hAnsi="Arial"/>
                <w:sz w:val="14"/>
                <w:szCs w:val="14"/>
                <w:b w:val="1"/>
                <w:bCs w:val="1"/>
                <w:color w:val="auto"/>
              </w:rPr>
              <w:t>Rate</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Maturities</w:t>
            </w:r>
          </w:p>
        </w:tc>
        <w:tc>
          <w:tcPr>
            <w:tcW w:w="2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w w:val="93"/>
              </w:rPr>
              <w:t>December 31, 2013</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Senior notes - 2007</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2017-27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Senior notes - 2013</w:t>
            </w:r>
          </w:p>
        </w:tc>
        <w:tc>
          <w:tcPr>
            <w:tcW w:w="16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299,760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299,736</w:t>
            </w:r>
          </w:p>
        </w:tc>
      </w:tr>
      <w:tr>
        <w:trPr>
          <w:trHeight w:val="27"/>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overdrafts and other</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7,094</w:t>
            </w:r>
          </w:p>
        </w:tc>
      </w:tr>
      <w:tr>
        <w:trPr>
          <w:trHeight w:val="27"/>
        </w:trPr>
        <w:tc>
          <w:tcPr>
            <w:tcW w:w="47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932,814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47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931,635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932,665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to, among other things (i) modify the available tranches of the revolving loan facility provided under the credit agreement (the “Credit Facility”), (ii) reduce the applicable margin on the interest rate on advances under the Credit Facility to a range of 0.0% to 0.750% for base rate advances and 0.750% to 1.750% for Eurocurrency rate advances, depending on the Company’s public debt rating and (iii) extend the maturity date of the Credit Facility until April 4, 2019. Tranche A of the Credit Facility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At March 31, 2014, we had $21.5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2014, the Company had accrued interest and penalties of $2.3 million classified in Other liabilities.</w:t>
      </w:r>
    </w:p>
    <w:p>
      <w:pPr>
        <w:spacing w:after="0" w:line="17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other ongoing tax audits and legal proceedings that relate to indirect taxes, such as value-added taxes, capital tax, sales and use taxes and property taxes, which are discussed in Note 12.</w:t>
      </w:r>
    </w:p>
    <w:p>
      <w:pPr>
        <w:spacing w:after="0" w:line="127"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As of March 31, 2014, the Company had one outstanding income tax case in Spain relating to fisca1 year 2002. The Company has fully reserved the assessment originally asserted by the Spanish tax authority. The Company is awaiting a decision on its appeal, and in order to proceed with the appeal, the Company was required to post a bank guaranty, which as of March 31, 2014, was in the amount of Euro 1.8 million ($2.5 million).</w:t>
      </w:r>
    </w:p>
    <w:p>
      <w:pPr>
        <w:spacing w:after="0" w:line="9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addition to the above, the Company has also been a party to dividend withholding tax controversies in Spain. At March 31, 2014, the Company had Euro 4.5 million ($6.2 million) reflected in income taxes payable in connection with three of these cases. The fourth and final remaining case is under appeal and has not yet been heard by the Spanish Supreme Court, with an aggregate value of Euro 3.2 million ($4.5 million), including estimated interest, which is fully reserved as of March 31, 2014. As of March 31, 2014, the Company had posted bank guarantees of Euro 7.7 million ($10.7 million) in order to proceed with the appeal.</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7" w:name="page8"/>
    <w:bookmarkEnd w:id="7"/>
    <w:p>
      <w:pPr>
        <w:jc w:val="both"/>
        <w:ind w:firstLine="405"/>
        <w:spacing w:after="0" w:line="264" w:lineRule="auto"/>
        <w:rPr>
          <w:sz w:val="20"/>
          <w:szCs w:val="20"/>
          <w:color w:val="auto"/>
        </w:rPr>
      </w:pPr>
      <w:r>
        <w:rPr>
          <w:rFonts w:ascii="Arial" w:cs="Arial" w:eastAsia="Arial" w:hAnsi="Arial"/>
          <w:sz w:val="18"/>
          <w:szCs w:val="18"/>
          <w:color w:val="auto"/>
        </w:rPr>
        <w:t>In addition to the Spanish tax controversy, the Company has several other tax audits in process and has open tax years with various taxing jurisdictions that range primarily from 2004 to 2013. Based on currently available information, we do not believe the ultimate outcome of any of these tax audits and other tax positions related to open tax years, when finalized, will have a material impact on our financial position.</w:t>
      </w:r>
    </w:p>
    <w:p>
      <w:pPr>
        <w:spacing w:after="0" w:line="12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As of March 31, 2014, the Company’s aggregate provisions for uncertain tax positions, including interest and penalties, was $23.8 million, which includes $2.2 million associated with the tax positions taken by our Spanish subsidiaries for the 2002 fiscal year, $3.8 million associated with our Spanish dividend withholding tax controversies and the remainder associated with various other tax positions asserted in foreign jurisdictions, none of which is individually material.</w:t>
      </w:r>
    </w:p>
    <w:p>
      <w:pPr>
        <w:spacing w:after="0" w:line="133" w:lineRule="exact"/>
        <w:rPr>
          <w:sz w:val="20"/>
          <w:szCs w:val="20"/>
          <w:color w:val="auto"/>
        </w:rPr>
      </w:pPr>
    </w:p>
    <w:p>
      <w:pPr>
        <w:jc w:val="both"/>
        <w:ind w:right="180" w:firstLine="405"/>
        <w:spacing w:after="0" w:line="257" w:lineRule="auto"/>
        <w:rPr>
          <w:sz w:val="20"/>
          <w:szCs w:val="20"/>
          <w:color w:val="auto"/>
        </w:rPr>
      </w:pPr>
      <w:r>
        <w:rPr>
          <w:rFonts w:ascii="Arial" w:cs="Arial" w:eastAsia="Arial" w:hAnsi="Arial"/>
          <w:sz w:val="18"/>
          <w:szCs w:val="18"/>
          <w:color w:val="auto"/>
        </w:rPr>
        <w:t>The effective tax rate for the three months ended March 31, 2014 was 25.3% compared with 28.9% for the three months ended March 31, 2013. The effective tax rate for the 2013 first quarter includes a $6.2 million after-tax charge associated with the 2002-2003 tax ruling during the first quarter of 2013, which was partially offset by a $2.7 million benefit associated with U.S. tax legislation enacted in the first quarter of 2013 (including the R&amp;D tax credit). The quarter-over-quarter decrease is principally driven by the absence of the $6.2 million after-tax charge partially offset by the expiration of the R&amp;D tax credit in December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 Plans:</w:t>
      </w:r>
    </w:p>
    <w:p>
      <w:pPr>
        <w:spacing w:after="0" w:line="9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9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certain non-recurring items, Interest expense, Other expense, net and Taxes on income.</w:t>
      </w:r>
    </w:p>
    <w:p>
      <w:pPr>
        <w:spacing w:after="0" w:line="127"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746"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Reportable segment information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366,505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356,361</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403,719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371,475</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770,224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727,836</w:t>
            </w:r>
          </w:p>
        </w:tc>
      </w:tr>
      <w:tr>
        <w:trPr>
          <w:trHeight w:val="67"/>
        </w:trPr>
        <w:tc>
          <w:tcPr>
            <w:tcW w:w="48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88,063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83,039</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68,354</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(12,589)</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156,053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(11,152)</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142,933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127,523</w:t>
            </w:r>
          </w:p>
        </w:tc>
      </w:tr>
      <w:tr>
        <w:trPr>
          <w:trHeight w:val="27"/>
        </w:trPr>
        <w:tc>
          <w:tcPr>
            <w:tcW w:w="4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7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three months ended March 31, 2014 and 2013 were $159.0 million and $158.2 million, respectively. Net sales attributed to all foreign countries in total for the three months ended March 31, 2014 and 2013 were $611.2 million and $569.6 million, respectively. No non-U.S. country had net sales in any period presented greater than 8% of total consolidated net sales.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Employee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5,741</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5,869</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1,870</w:t>
            </w:r>
          </w:p>
        </w:tc>
      </w:tr>
      <w:tr>
        <w:trPr>
          <w:trHeight w:val="27"/>
        </w:trPr>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r>
      <w:tr>
        <w:trPr>
          <w:trHeight w:val="461"/>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8,412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7,874</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2,368</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due to settlements and special terminations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2,326</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1,291</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4,011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3,617</w:t>
            </w:r>
          </w:p>
        </w:tc>
      </w:tr>
      <w:tr>
        <w:trPr>
          <w:trHeight w:val="27"/>
        </w:trPr>
        <w:tc>
          <w:tcPr>
            <w:tcW w:w="4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expects to contribute approximately $21 million to its non-U.S. pension plans during 2014. In the three months ended March 31, 2014, $5.3 million of contributions were made to the non-U.S. plans. In the three months ended March 31, 2014, $1.0 million of benefit payments were made with respect to the Company’s non-qualified U.S. pension plan.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1,168</w:t>
            </w:r>
          </w:p>
        </w:tc>
      </w:tr>
      <w:tr>
        <w:trPr>
          <w:trHeight w:val="27"/>
        </w:trPr>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867</w:t>
            </w:r>
          </w:p>
        </w:tc>
      </w:tr>
      <w:tr>
        <w:trPr>
          <w:trHeight w:val="27"/>
        </w:trPr>
        <w:tc>
          <w:tcPr>
            <w:tcW w:w="4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2014. In the three months ended March 31, 2014, $1.6 million of contributions were made,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ectPr>
          <w:pgSz w:w="11900" w:h="16838" w:orient="portrait"/>
          <w:cols w:equalWidth="0" w:num="1">
            <w:col w:w="11420"/>
          </w:cols>
          <w:pgMar w:left="240" w:top="580" w:right="239" w:bottom="1440" w:gutter="0" w:footer="0" w:header="0"/>
        </w:sect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8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2013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March 31, 2014.</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March 31, 2014 and December 31, 2013 consisted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2014</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5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52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268,584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268,584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405,505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593,909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590,024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139,146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299,760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286,922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299,736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278,770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20" w:firstLine="405"/>
        <w:spacing w:after="0" w:line="259" w:lineRule="auto"/>
        <w:rPr>
          <w:sz w:val="20"/>
          <w:szCs w:val="20"/>
          <w:color w:val="auto"/>
        </w:rPr>
      </w:pPr>
      <w:r>
        <w:rPr>
          <w:rFonts w:ascii="Arial" w:cs="Arial" w:eastAsia="Arial" w:hAnsi="Arial"/>
          <w:sz w:val="18"/>
          <w:szCs w:val="18"/>
          <w:color w:val="auto"/>
        </w:rPr>
        <w:t>We periodically enter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2003, we executed a 10-year Yen - U.S. dollar currency swap related to the monthly sale and purchase of products between the U.S. and Japan which had been designated as a cash flow hedge. This swap matured in January 2013.</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During the three months ended March 31, 2014 and the year ended December 31, 2013, we entered into a forward currency contract which qualified as a net investment hedge,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AOCI where they will remain until the net investments in our European subsidiaries are divested. Three of these forward currency contracts matured during the three months ended March 31, 2014. The outstanding forward currency contracts have remaining maturities of approximately one year.</w:t>
      </w:r>
    </w:p>
    <w:p>
      <w:pPr>
        <w:spacing w:after="0" w:line="17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three months ended March 31, 2014 and the year ended December 31, 2013, we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460"/>
        <w:spacing w:after="0" w:line="286" w:lineRule="auto"/>
        <w:rPr>
          <w:sz w:val="20"/>
          <w:szCs w:val="20"/>
          <w:color w:val="auto"/>
        </w:rPr>
      </w:pPr>
      <w:r>
        <w:rPr>
          <w:rFonts w:ascii="Arial" w:cs="Arial" w:eastAsia="Arial" w:hAnsi="Arial"/>
          <w:sz w:val="17"/>
          <w:szCs w:val="17"/>
          <w:color w:val="auto"/>
        </w:rPr>
        <w:t>OCI as a component of 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1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During Q1 2013, we entered into three interest rate swaps to hedge the anticipated issuance of fixed-rate debt, which are designated as cash flow hedges. The effective portions of cash flow hedges are recorded in OCI as a component of Losses on derivatives qualifying as hedges in the accompanying Consolidated Statement of Comprehensive Income. During the second quarter of 2013, we terminated these swaps and incurred a loss of $2.7 million, which we will amortize as Interest expense over the life of the Senior Notes - 2013 (discussed in Note 8 of our 2013 Form 10-K).</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Q3 2013, we entered into multiple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months ended March 31,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March 31, 2014 and December 31, 2013:</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2014</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255,500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375,000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March 31, 2014 and December 31,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2014</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9,554</w:t>
            </w:r>
          </w:p>
        </w:tc>
        <w:tc>
          <w:tcPr>
            <w:tcW w:w="0" w:type="dxa"/>
            <w:vAlign w:val="bottom"/>
          </w:tcPr>
          <w:p>
            <w:pPr>
              <w:spacing w:after="0"/>
              <w:rPr>
                <w:sz w:val="1"/>
                <w:szCs w:val="1"/>
                <w:color w:val="auto"/>
              </w:rPr>
            </w:pPr>
          </w:p>
        </w:tc>
      </w:tr>
      <w:tr>
        <w:trPr>
          <w:trHeight w:val="548"/>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80" w:right="2940" w:hanging="5456"/>
        <w:spacing w:after="0" w:line="747" w:lineRule="auto"/>
        <w:tabs>
          <w:tab w:leader="none" w:pos="544"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 12</w:t>
      </w:r>
    </w:p>
    <w:p>
      <w:pPr>
        <w:sectPr>
          <w:pgSz w:w="11900" w:h="16838" w:orient="portrait"/>
          <w:cols w:equalWidth="0" w:num="1">
            <w:col w:w="11420"/>
          </w:cols>
          <w:pgMar w:left="240" w:top="584" w:right="23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color w:val="auto"/>
        </w:rPr>
        <w:t>(b)  Derivative liabilities are recorded as Other current liabilities in the Consolidated Balance Sheet.</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months ended March 31, 2014 and 2013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(Loss) Gain</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940" w:type="dxa"/>
            <w:vAlign w:val="bottom"/>
          </w:tcPr>
          <w:p>
            <w:pPr>
              <w:spacing w:after="0"/>
              <w:rPr>
                <w:sz w:val="12"/>
                <w:szCs w:val="12"/>
                <w:color w:val="auto"/>
              </w:rPr>
            </w:pPr>
          </w:p>
        </w:tc>
        <w:tc>
          <w:tcPr>
            <w:tcW w:w="176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w w:val="92"/>
              </w:rPr>
              <w:t>Amount of (Loss) Gain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5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8,177   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months ended March 31, 2014 and 2013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40" w:type="dxa"/>
            <w:vAlign w:val="bottom"/>
            <w:gridSpan w:val="4"/>
            <w:vMerge w:val="restart"/>
          </w:tcPr>
          <w:p>
            <w:pPr>
              <w:jc w:val="center"/>
              <w:ind w:left="543"/>
              <w:spacing w:after="0"/>
              <w:rPr>
                <w:sz w:val="20"/>
                <w:szCs w:val="20"/>
                <w:color w:val="auto"/>
              </w:rPr>
            </w:pPr>
            <w:r>
              <w:rPr>
                <w:rFonts w:ascii="Arial" w:cs="Arial" w:eastAsia="Arial" w:hAnsi="Arial"/>
                <w:sz w:val="14"/>
                <w:szCs w:val="14"/>
                <w:b w:val="1"/>
                <w:bCs w:val="1"/>
                <w:color w:val="auto"/>
                <w:w w:val="94"/>
              </w:rPr>
              <w:t>Amount of (Loss) Gain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3"/>
          </w:tcPr>
          <w:p>
            <w:pPr>
              <w:jc w:val="center"/>
              <w:ind w:left="50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040" w:type="dxa"/>
            <w:vAlign w:val="bottom"/>
            <w:gridSpan w:val="4"/>
          </w:tcPr>
          <w:p>
            <w:pPr>
              <w:jc w:val="center"/>
              <w:ind w:left="523"/>
              <w:spacing w:after="0" w:line="158" w:lineRule="exact"/>
              <w:rPr>
                <w:sz w:val="20"/>
                <w:szCs w:val="20"/>
                <w:color w:val="auto"/>
              </w:rPr>
            </w:pPr>
            <w:r>
              <w:rPr>
                <w:rFonts w:ascii="Arial" w:cs="Arial" w:eastAsia="Arial" w:hAnsi="Arial"/>
                <w:sz w:val="14"/>
                <w:szCs w:val="14"/>
                <w:b w:val="1"/>
                <w:bCs w:val="1"/>
                <w:color w:val="auto"/>
                <w:w w:val="93"/>
              </w:rPr>
              <w:t>Recognized in OCI on</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Location of (Loss) Gain</w:t>
            </w:r>
          </w:p>
        </w:tc>
        <w:tc>
          <w:tcPr>
            <w:tcW w:w="280" w:type="dxa"/>
            <w:vAlign w:val="bottom"/>
          </w:tcPr>
          <w:p>
            <w:pPr>
              <w:spacing w:after="0"/>
              <w:rPr>
                <w:sz w:val="13"/>
                <w:szCs w:val="13"/>
                <w:color w:val="auto"/>
              </w:rPr>
            </w:pPr>
          </w:p>
        </w:tc>
        <w:tc>
          <w:tcPr>
            <w:tcW w:w="2560" w:type="dxa"/>
            <w:vAlign w:val="bottom"/>
            <w:gridSpan w:val="4"/>
          </w:tcPr>
          <w:p>
            <w:pPr>
              <w:jc w:val="center"/>
              <w:ind w:right="153"/>
              <w:spacing w:after="0" w:line="158"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40" w:type="dxa"/>
            <w:vAlign w:val="bottom"/>
            <w:gridSpan w:val="4"/>
          </w:tcPr>
          <w:p>
            <w:pPr>
              <w:jc w:val="center"/>
              <w:ind w:left="543"/>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280" w:type="dxa"/>
            <w:vAlign w:val="bottom"/>
          </w:tcPr>
          <w:p>
            <w:pPr>
              <w:spacing w:after="0"/>
              <w:rPr>
                <w:sz w:val="12"/>
                <w:szCs w:val="12"/>
                <w:color w:val="auto"/>
              </w:rPr>
            </w:pPr>
          </w:p>
        </w:tc>
        <w:tc>
          <w:tcPr>
            <w:tcW w:w="1720" w:type="dxa"/>
            <w:vAlign w:val="bottom"/>
            <w:gridSpan w:val="3"/>
          </w:tcPr>
          <w:p>
            <w:pPr>
              <w:jc w:val="center"/>
              <w:ind w:left="521"/>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Income (Effective Portion)</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6"/>
              </w:rPr>
              <w:t>Portion)</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264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76"/>
        </w:trPr>
        <w:tc>
          <w:tcPr>
            <w:tcW w:w="33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Cross currency swap </w:t>
            </w:r>
            <w:r>
              <w:rPr>
                <w:rFonts w:ascii="Arial" w:cs="Arial" w:eastAsia="Arial" w:hAnsi="Arial"/>
                <w:sz w:val="25"/>
                <w:szCs w:val="25"/>
                <w:color w:val="auto"/>
                <w:vertAlign w:val="superscript"/>
              </w:rPr>
              <w:t>(1)</w:t>
            </w:r>
          </w:p>
        </w:tc>
        <w:tc>
          <w:tcPr>
            <w:tcW w:w="800" w:type="dxa"/>
            <w:vAlign w:val="bottom"/>
          </w:tcPr>
          <w:p>
            <w:pPr>
              <w:jc w:val="right"/>
              <w:ind w:right="62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(2)</w:t>
            </w:r>
          </w:p>
        </w:tc>
        <w:tc>
          <w:tcPr>
            <w:tcW w:w="800" w:type="dxa"/>
            <w:vAlign w:val="bottom"/>
          </w:tcPr>
          <w:p>
            <w:pPr>
              <w:spacing w:after="0"/>
              <w:rPr>
                <w:sz w:val="23"/>
                <w:szCs w:val="23"/>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(1,194)</w:t>
            </w:r>
          </w:p>
        </w:tc>
        <w:tc>
          <w:tcPr>
            <w:tcW w:w="10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(375)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1"/>
                <w:szCs w:val="21"/>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Ten year swap executed in 2003.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swaps were entered into as pre-issuance hedges for the $300 million bond offering.</w:t>
      </w:r>
    </w:p>
    <w:p>
      <w:pPr>
        <w:spacing w:after="0" w:line="21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hedges during the three months ended March 31, 2014 and 2013. The ineffective portion of the net investment hedges was not material during the three months ended March 31, 2014 and 2013.</w:t>
      </w:r>
    </w:p>
    <w:p>
      <w:pPr>
        <w:spacing w:after="0" w:line="116"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Company expects that approximately $2.2 million (net of tax) of derivative losses included in AOCI at March 31, 2014,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(113,674)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(280,056)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(397,282)</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(93,496)</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(304,553)</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(398,395)</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2013</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7"/>
          <w:szCs w:val="17"/>
          <w:color w:val="auto"/>
        </w:rPr>
        <w:t>The following table provides details about reclassifications out of accumulated other comprehensive income to the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2014</w:t>
            </w:r>
          </w:p>
        </w:tc>
        <w:tc>
          <w:tcPr>
            <w:tcW w:w="20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380"/>
              <w:spacing w:after="0"/>
              <w:rPr>
                <w:sz w:val="20"/>
                <w:szCs w:val="20"/>
                <w:color w:val="auto"/>
              </w:rPr>
            </w:pPr>
            <w:r>
              <w:rPr>
                <w:rFonts w:ascii="Arial" w:cs="Arial" w:eastAsia="Arial" w:hAnsi="Arial"/>
                <w:sz w:val="18"/>
                <w:szCs w:val="18"/>
                <w:color w:val="auto"/>
              </w:rPr>
              <w:t>Cross currency swap</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Provision for income taxes</w:t>
            </w:r>
          </w:p>
        </w:tc>
        <w:tc>
          <w:tcPr>
            <w:tcW w:w="0" w:type="dxa"/>
            <w:vAlign w:val="bottom"/>
          </w:tcPr>
          <w:p>
            <w:pPr>
              <w:spacing w:after="0"/>
              <w:rPr>
                <w:sz w:val="1"/>
                <w:szCs w:val="1"/>
                <w:color w:val="auto"/>
              </w:rPr>
            </w:pPr>
          </w:p>
        </w:tc>
      </w:tr>
      <w:tr>
        <w:trPr>
          <w:trHeight w:val="297"/>
        </w:trPr>
        <w:tc>
          <w:tcPr>
            <w:tcW w:w="6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7"/>
              </w:rPr>
              <w:t>Total, net of income taxes</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(Losses) gains on pension and postretirement liability adjustments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Settlements / Curtailments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(8,672)</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Provision for income taxes</w:t>
            </w: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w w:val="97"/>
              </w:rPr>
              <w:t>Total, net of income taxes</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6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13 of our 2013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regarding governmental requirements associated with pending litigation in various jurisdictions and to support its ongoing business operations.</w:t>
      </w:r>
    </w:p>
    <w:p>
      <w:pPr>
        <w:spacing w:after="0" w:line="11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At March 31, 2014, we had total bank guarantees and standby letters of credit of approximately $45.9 million with various financial institutions. Of this amount, Euro 9.5 million ($13.2 million) in bank guarantees are related to governmental requirements on income tax disputes in Spain, as discussed in further detail in Note 9 of our 2013 Form 10-K. Also included in the above aggregate amount is a total of $22.6 million in bank guarantees which the Company has posted for certain assessments in Brazil for other diverse income tax and indirect tax disputes related to fiscal years 1998-2011. There were no material amounts utilized under the standby letters of credit as of March 31, 2014.</w:t>
      </w:r>
    </w:p>
    <w:p>
      <w:pPr>
        <w:spacing w:after="0" w:line="13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$20 million as of March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March 31, 2014, we had available lines of credit (in addition to the Credit Facility discussed in Note 5) of approximately $84.9 million with various financial institutions. There were no significant amounts drawn down pursuant to these lines of credit as of March 31, 2014.</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8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$42.6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The case is currently proceeding through general discovery with a trial on the merits anticipated in early 2015. The Company denies the allegations and will vigorously defend its position in Court. At</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3" w:right="23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this preliminary stage of the litigation, based on the information currently available to the Company, management does not believe that this matter represents a material loss contingency.</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Based on the information available as of March 31, 2014, we estimate a range of reasonably possible loss related to the matters above, collectively, is $3-$20 million.</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Separately, the Spanish tax authorities are alleging claims for a capital tax in a case arising from similar allegations as the income tax cases (discussed in further detail in Note 9 of our 2013 Form 10-K). In connection with the 2002 income tax assessment ruling the Appellate Court rejected one of the two bases upon which we based our capital tax position. However, we believe that we still have a strong basis for our capital tax position and intend to continue to defend these claims. If there is an unfavorable ruling in this case, we estimate a reasonably possible loss of approximately $13 million. On January 22, 2014, we filed an appeal and in order to avoid future interest costs in the event our appeal is unsuccessful, we paid $11.2 million (representing the principal amount) during the first quarter of 2014.</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p>
      <w:pPr>
        <w:ind w:right="3960"/>
        <w:spacing w:after="0" w:line="346" w:lineRule="auto"/>
        <w:rPr>
          <w:sz w:val="20"/>
          <w:szCs w:val="20"/>
          <w:color w:val="auto"/>
        </w:rPr>
      </w:pPr>
      <w:r>
        <w:rPr>
          <w:rFonts w:ascii="Arial" w:cs="Arial" w:eastAsia="Arial" w:hAnsi="Arial"/>
          <w:sz w:val="18"/>
          <w:szCs w:val="18"/>
          <w:b w:val="1"/>
          <w:bCs w:val="1"/>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create, manufacture and supply flavors and fragrances for the food, beverage, personal care and household-products industries either in the form of compounds or individual ingredients. Our flavors and fragrance compounds combine a large number of ingredients that are blended, mixed or reacted together to produce proprietary formulas created by our perfumers and flavorists.</w:t>
      </w:r>
    </w:p>
    <w:p>
      <w:pPr>
        <w:spacing w:after="0" w:line="12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4"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Our fragrances are a key component in the world’s finest perfumes and best-known consumer brands, including beauty care, fabric care, personal wash and home care products. During the first quarter of 2014, we announced that we realigned our creative and commercial teams within our Fragrance Compounds activities to newly-defined broad market categories, (1) Fine Fragrances and (2) Consumer Fragrances. Consumer Fragrances consists of five end-use categories: Fabric Care, Home Care, Personal Wash, Hair Care and Toiletries. In addition, our Fragrance Ingredients are used internally and sold to third parties, including customers and competitors, for use in preparation of compounds. Previously, our Fragrance Compounds were aligned into two broad categories (1) Fine Fragrance and Beauty Care and (2) Functional Fragrances.</w:t>
      </w:r>
    </w:p>
    <w:p>
      <w:pPr>
        <w:spacing w:after="0" w:line="12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 The flavors and fragrances market is estimated to be approximately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the second quarter of 2013, we announced our intention to close our fragrance ingredients manufacturing facility in Augusta, Georgia, thereby supporting our objective to ensure operations are cost efficient and competitive. We expect to close the facility by July 2014 and to consolidate production into other facilities, as further discussed in Note 3 to our Consolidated Financial Statements.</w:t>
      </w:r>
    </w:p>
    <w:p>
      <w:pPr>
        <w:spacing w:after="0" w:line="12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Net sales growth during the first quarter of 2014 was 6% on a reported basis. Excluding the effects of currency, local currency (LC) sales grew 7% (including a 1% benefit associated with the acquisition of Aromor). The LC growth reflects good new win performance (net of losses) in both Flavors and Fragrance Compounds as well as strong sales of specialty ingredients within Fragrance Ingredients, benefiting from Aromor. We expect that growth rates for the second quarter will be in line with our long-term strategic targets, driven by new win performance, innovation and emerging market leverage.</w:t>
      </w:r>
    </w:p>
    <w:p>
      <w:pPr>
        <w:spacing w:after="0" w:line="10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Exchange rate fluctuations had a 100 basis points (bps) unfavorable impact on net sales for the first quarter, as modest strengthening of the Euro versus the dollar was more than offset by double-digit currency declines versus the dollar in certain markets versus the prior year quarter. The effect of exchange rates can vary by business and region, depending upon the mix of sales by destination country as well as the relative percentage of local sales priced in U.S. dollars versus local currencies.</w:t>
      </w:r>
    </w:p>
    <w:p>
      <w:pPr>
        <w:spacing w:after="0" w:line="13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Gross margins improved versus the first quarter of 2013. The improvement reflects the favorable net impact of input costs to pricing, mix enhancements and cost reduction initiatives when compared to the first quarter of 2013. While the overall raw material cost environment is modestly favorable, the overall cost base remains quite elevated. In addition, there are certain key supplies where prices are still near all-time highs. While there is overall economic uncertainty and market volatility of our crop-related raw materials, we continue to believe cost pressures will develop in the second half of the year. As a result, we continue to seek improvements in our margins through operational performance and mix enhancement. While we continue to target year-over-year expansion in our gross margins, we expect that the rate of improvement during 2014 versus 2013 will be substantially less given the strong improvement realized during 2013. Included in the first quarter of 2014 is $2.6 million of costs associated with restructuring and operational improvement initiatives. During the fourth quarter of 2013, we completed the testing and start-up process at our Flavors compounding facility in China and began commercial production, which has resulted in higher depreciation expense and other operating costs associated with the commercial start-up.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Reported sales in the first quarter of 2014 increased approximately 6%. In LC terms, sales increased 7% (including a 1% benefit associated with the acquisition of Aromor) reflecting the strength of our broad and diverse portfolio of end-use product categories and geographies. The overall increase was driven by new win performance in both Flavors and Fragrance Compounds as well as strong sales of specialty ingredients within Fragrance Ingredients, which includes the benefit of the Aromor acquisition. Flavors realized LC growth of 5% for the first quarter of 2014. Our Fragrance business achieved LC growth of 8%, compared with LC sales in the first quarter of 2013. Fragrances performance reflects new win performance in our Fragrance Compounds end-use categories, led by sales in our Fine Fragrance, Fabric Care and Hair Care categories. Overall, our first quarter 2014 results continued to be driven by our strong emerging market presence that represented 49% of sales and experienced 7% LC growth. From a geographic perspective, the Latin America (LA), Europe, Africa and Middle East (EAME), Greater Asia (GA) and North America (NOAM) regions all delivered LC growth in 2014, led by GA, with 11% LC growth.</w:t>
      </w:r>
    </w:p>
    <w:p>
      <w:pPr>
        <w:spacing w:after="0" w:line="14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Operating profit increased $18.5 million to $156.1 million (20.3% of sales) in the 2014 first quarter compared to $137.6 million (18.9% of sales) in the comparable 2013 period. The three months ended March 31, 2014 included restructuring and operational improvement initiative costs of $2.6 million. Excluding these charges, adjusted operating profit was $158.8 million (20.6% of sales) for the first quarter of 2014. The quarter-over-quarter improvement also reflects gross margin expansion that collectively more than offset the effects of higher R&amp;D, selling and administrative costs (including higher incentive compensation expense). The results of Aromor were not significant to the consolidated financial performance of the Company for the first quarter of 2014.</w:t>
      </w:r>
    </w:p>
    <w:p>
      <w:pPr>
        <w:spacing w:after="0" w:line="10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Net income increased by $16.0 million quarter-over-quarter to $106.7 million for the first quarter of 2014 principally driven by improved operating performance.</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continue to execute against our strategic priorities of leveraging our geographic reach, strengthening our innovation platform and maximizing our portfolio during the first quarter of 2014. By maintaining cost discipline and realizing productivity gains across many parts of the business, we believe that we can continue to fund investments in resources and capabilities in emerging markets, R&amp;D and key technologies. In 2014, we believe that capital spending will approach 5% of sales as we continue to prioritize investments in emerging markets and Flavors.</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Cash flows from operations for the three months ended March 31, 2014 were $35.0 million or 4.5% of sales, compared to cash inflow from operations of $18.7 million or 2.6% of sales for the three months ended March 31, 2013. The increase in cash flow from operations in 2014 primarily reflects the absence of a $30.0 million pension contribution payment which was made in the first quarter of 2013, which was offset by higher incentive compensation payments in the 2014 period as compared to 2013.</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82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3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770,224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727,836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428,812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416,476</w:t>
            </w:r>
          </w:p>
        </w:tc>
        <w:tc>
          <w:tcPr>
            <w:tcW w:w="13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341,412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311,360</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8"/>
                <w:szCs w:val="18"/>
                <w:color w:val="auto"/>
                <w:w w:val="97"/>
              </w:rPr>
              <w:t>Research and development (R&amp;D)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61,504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59,101</w:t>
            </w:r>
          </w:p>
        </w:tc>
        <w:tc>
          <w:tcPr>
            <w:tcW w:w="13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123,733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114,653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w w:val="91"/>
              </w:rPr>
              <w:t>Restructuring and other charges, net</w:t>
            </w: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137,606</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11,677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11,152</w:t>
            </w:r>
          </w:p>
        </w:tc>
        <w:tc>
          <w:tcPr>
            <w:tcW w:w="13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142,933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127,523</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36,826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106,707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90,697</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0"/>
        </w:trPr>
        <w:tc>
          <w:tcPr>
            <w:tcW w:w="274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19.1%</w:t>
            </w:r>
          </w:p>
        </w:tc>
        <w:tc>
          <w:tcPr>
            <w:tcW w:w="1340" w:type="dxa"/>
            <w:vAlign w:val="bottom"/>
          </w:tcPr>
          <w:p>
            <w:pPr>
              <w:jc w:val="right"/>
              <w:ind w:right="171"/>
              <w:spacing w:after="0"/>
              <w:rPr>
                <w:sz w:val="20"/>
                <w:szCs w:val="20"/>
                <w:color w:val="auto"/>
              </w:rPr>
            </w:pPr>
            <w:r>
              <w:rPr>
                <w:rFonts w:ascii="Arial" w:cs="Arial" w:eastAsia="Arial" w:hAnsi="Arial"/>
                <w:sz w:val="18"/>
                <w:szCs w:val="18"/>
                <w:i w:val="1"/>
                <w:iCs w:val="1"/>
                <w:color w:val="auto"/>
              </w:rPr>
              <w:t>150.0</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3"/>
        </w:trPr>
        <w:tc>
          <w:tcPr>
            <w:tcW w:w="2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356,361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403,719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371,475</w:t>
            </w:r>
          </w:p>
        </w:tc>
        <w:tc>
          <w:tcPr>
            <w:tcW w:w="13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770,224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727,836</w:t>
            </w: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308"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operating margin excludes the Restructuring and other charges, net and operational improvement initiative costs of $2.6 million for the three months ended March 31, 2014 and $1.2 million of operational improvement initiative costs for the three months ended March 31, 2013.</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2014 IN COMPARISON TO FIRST QUARTER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Sales for the first quarter of 2014 totaled $770.2 million, an increase of 6% from the prior year quarter. Excluding the impact of foreign currency, LC sales increased 7% (including a 1% benefit associated with the acquisition of Aromor), as a result of new wins in both Flavors and Fragrance Compounds and strong Fragrance Ingredients LC sales. Overall LC growth was driven by 7% growth in emerging markets (prior to the impact of Aromor).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Flavors reported sales growth increased 3% and LC sales growth increased 5% during the first quarter of 2014 compared to the 2013 period. The overall increase was principally driven by new wins. On an end-use product category basis, LC growth</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0" w:right="279" w:bottom="1440" w:gutter="0" w:footer="0" w:header="0"/>
        </w:sectPr>
      </w:pPr>
    </w:p>
    <w:bookmarkStart w:id="20" w:name="page21"/>
    <w:bookmarkEnd w:id="20"/>
    <w:p>
      <w:pPr>
        <w:ind w:right="100"/>
        <w:spacing w:after="0" w:line="257" w:lineRule="auto"/>
        <w:rPr>
          <w:sz w:val="20"/>
          <w:szCs w:val="20"/>
          <w:color w:val="auto"/>
        </w:rPr>
      </w:pPr>
      <w:r>
        <w:rPr>
          <w:rFonts w:ascii="Arial" w:cs="Arial" w:eastAsia="Arial" w:hAnsi="Arial"/>
          <w:sz w:val="18"/>
          <w:szCs w:val="18"/>
          <w:color w:val="auto"/>
        </w:rPr>
        <w:t>was led by double-digit growth in Beverage and mid single-digit gains in Savory and Dairy. The Flavors business delivered LC growth in LA, GA and EAME, led by LA, while sales declined in NOAM. Sales in LA were driven by high double-digit gains in Beverage. Sales in GA were driven by mid to high single-digit gains in Savory and Beverage. Sales in EAME were driven by mid single-digit gains in Savory and Beverage. The declines in NOAM were primarily driven by overall market weakness, resulting in lower volumes on existing business across all categories, with a particular impact in the Sweet category.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Fragrances business experienced a 9% increase in reported sales and an 8% increase in LC sales for the first quarter of 2014 compared to the first quarter of 2013 (including a 1% benefit associated with the acquisition of Aromor). The overall increase was driven by new wins in our Fragrance Compounds categories as well as strong sales of specialty ingredients within Fragrance Ingredients, which benefited from the acquisition of Aromor during the quarter. Our Fragrance Compounds and Fragrance Ingredients categories saw LC sales grow 6% and 22%, respectively, over the prior year period. Fragrance Ingredients includes a 14% benefit from Aromor. Within Fragrance Compounds, sales were driven by double-digit growth in Fine Fragrances and Hair Care as well as high single-digit growth in Fabric Care.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w w:val="97"/>
              </w:rPr>
              <w:t>% Change in Sales-First Quarter 2014 vs. First Quarter 2013</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Ingredients</w:t>
            </w:r>
          </w:p>
        </w:tc>
        <w:tc>
          <w:tcPr>
            <w:tcW w:w="1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Flavors</w:t>
            </w:r>
          </w:p>
        </w:tc>
        <w:tc>
          <w:tcPr>
            <w:tcW w:w="12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1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43 %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0" w:type="dxa"/>
            <w:vAlign w:val="bottom"/>
          </w:tcPr>
          <w:p>
            <w:pPr>
              <w:spacing w:after="0"/>
              <w:rPr>
                <w:sz w:val="1"/>
                <w:szCs w:val="1"/>
                <w:color w:val="auto"/>
              </w:rPr>
            </w:pP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40" w:type="dxa"/>
            <w:vAlign w:val="bottom"/>
          </w:tcPr>
          <w:p>
            <w:pPr>
              <w:ind w:left="1040"/>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0" w:type="dxa"/>
            <w:vAlign w:val="bottom"/>
          </w:tcPr>
          <w:p>
            <w:pPr>
              <w:spacing w:after="0"/>
              <w:rPr>
                <w:sz w:val="1"/>
                <w:szCs w:val="1"/>
                <w:color w:val="auto"/>
              </w:rPr>
            </w:pP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ind w:left="1000"/>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43 %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0" w:type="dxa"/>
            <w:vAlign w:val="bottom"/>
          </w:tcPr>
          <w:p>
            <w:pPr>
              <w:spacing w:after="0"/>
              <w:rPr>
                <w:sz w:val="1"/>
                <w:szCs w:val="1"/>
                <w:color w:val="auto"/>
              </w:rPr>
            </w:pP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currency sales growth is calculated by translating prior year sales at the exchange rates for the corresponding 2014 period.</w:t>
      </w:r>
    </w:p>
    <w:p>
      <w:pPr>
        <w:spacing w:after="0" w:line="210" w:lineRule="exact"/>
        <w:rPr>
          <w:rFonts w:ascii="Arial" w:cs="Arial" w:eastAsia="Arial" w:hAnsi="Arial"/>
          <w:sz w:val="18"/>
          <w:szCs w:val="18"/>
          <w:color w:val="auto"/>
        </w:rPr>
      </w:pPr>
    </w:p>
    <w:p>
      <w:pPr>
        <w:ind w:left="660" w:hanging="328"/>
        <w:spacing w:after="0" w:line="271"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NOAM Flavors sales decreased 4% as a result of low single-digit gains in Beverage that were more than offset by double-digit declines in Sweet and single-digit declines in Savory and Dairy. NOAM Fragrance sales increased 8% in the first quarter of 2014, principally due to high double-digit gains in Fine Fragrances and Home Care, which were only partially offset by declines in Fabric Care and Fragrance Ingredients.</w:t>
      </w:r>
    </w:p>
    <w:p>
      <w:pPr>
        <w:jc w:val="both"/>
        <w:ind w:left="660" w:right="30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EAME Flavors LC sales growth of 4% was led by high single-digit growth in Beverage and Dairy and mid single-digit growth in Savory. EAME Fragrance LC sales increased 12% overall, driven mainly by high double-digit growth in Fine Fragrances and Fragrance Ingredients, which were partially offset by declines in the Home Care and Personal Wash categories.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LC sales were up 23% as new wins drove high double-digit gains in Beverages and high single-digit gains in Savory, which were partially offset by mid single-digit declines in Sweet. LA Fragrances LC sales decreased 5% overall, principally related to double-digit gains within the Personal Wash and Hair Care categories, which were more than offset by double-digit declines in Fine Fragrances and declines within Home Care and Fragrance Ingredients.</w:t>
      </w:r>
    </w:p>
    <w:p>
      <w:pPr>
        <w:spacing w:after="0" w:line="1" w:lineRule="exact"/>
        <w:rPr>
          <w:rFonts w:ascii="Arial" w:cs="Arial" w:eastAsia="Arial" w:hAnsi="Arial"/>
          <w:sz w:val="18"/>
          <w:szCs w:val="18"/>
          <w:color w:val="auto"/>
        </w:rPr>
      </w:pPr>
    </w:p>
    <w:p>
      <w:pPr>
        <w:ind w:left="660" w:right="100" w:hanging="328"/>
        <w:spacing w:after="0" w:line="255"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GA Flavors had 8% LC sales growth from high single-digit growth in all categories, driven by new win performance. GA Fragrances LC sales growth of 16% was driven by double-digit growth in Fabric Care and Fragrance Ingredients as well as high single-digit growth in the Hair Care and Toiletries categories.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Cost of goods sold, as a percentage of sales, decreased 150 bps to 55.7% in the first quarter of 2014 compared to 57.2% in the first quarter of 2013. The improvement versus last year was mainly driven by the favorable net impact of input costs to pricing, mix enhancements and cost reduction initiatives on a year-over-year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6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Overall R&amp;D expenses, as a percentage of sales, remained relatively consistent with prior year at 8.0% in the first quarter of 2014 versus 8.1% in the first quarter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S&amp;A expenses, as a percentage of sales, increased 30 bps to 16.1% in the first quarter of 2014 versus 15.8% in the first quarter of 2013. The increase in S&amp;A as a percentage of sales principally reflects the inclusion of Aromor-related expenses and higher incentive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certain non-recurring items, net, Interest expense, Other expense, net and Taxes on income. See Note 8 to our Consolidated Financial Statements for the reconciliation to Income before taxes.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88,063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83,039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87,166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68,354</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(16,435)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156,053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137,606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Flavors segment profit totaled $88.1 million in the first quarter of 2014, or 24.0% as a percentage of sales, compared to $83.0 million, or 23.3% as a percentage of sales, in the comparable 2013 period. The improvement in segment profit and profit margin was driven primarily by volume growth from new wins, gross margin improvement and disciplined cost control.</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Fragrances segment profit totaled $87.2 million in the first quarter of 2014, or 21.6% as a percentage of sales, compared to $68.4 million, or 18.4% as a percentage of sales, in the comparable 2013 period. The improvement in segment profit and profit margin was due to strong local currency sales growth, gross margin expansion and productivity gains.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360" w:firstLine="432"/>
        <w:spacing w:after="0" w:line="286" w:lineRule="auto"/>
        <w:rPr>
          <w:sz w:val="20"/>
          <w:szCs w:val="20"/>
          <w:color w:val="auto"/>
        </w:rPr>
      </w:pPr>
      <w:r>
        <w:rPr>
          <w:rFonts w:ascii="Arial" w:cs="Arial" w:eastAsia="Arial" w:hAnsi="Arial"/>
          <w:sz w:val="17"/>
          <w:szCs w:val="17"/>
          <w:color w:val="auto"/>
        </w:rPr>
        <w:t>Global expenses represent corporate and headquarters-related expenses which include legal, finance, human resources and R&amp;D and other administrative expenses that are not allocated to an individual business unit. In the first quarter of 2014, Global expenses were $16.4 million compared to $12.6 million during the first quarter of 2013. The increase primarily reflects higher incentive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Restructuring and other charges, net in 2014 consist of separation costs for employees, including severance, outplacement and other benefit costs, relating to the Fragrance Ingredients Rationalization that started in the second quarter of 2013 related to the closing of the fragrance ingredients manufacturing facility in Augusta, Georgia. During the first quarter of 2014, the Company recorded $0.1 million of severance costs included in Restructuring and other charges, net and $2.3 million of non-cash charges related to accelerated depreciation included in Cost of goods sold. We expect that 43 positions will be eliminated as a result of these decisions. We estimate that approximately $6-$9 million of the costs will result in future cash expenditures.</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Interest expense increased $0.5 million to $11.7 million in the first quarter of 2014 compared to the first quarter of 2013. Average cost of debt was 5.0% for the 2014 three month period compared to 4.4% in the 2013 three 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Other expense (income), net decreased by approximately $2.5 million to $1.4 million of expense in the first quarter of 2014 versus $1.1 million of income in the comparable 2013 period. The decrease over the prior year period is driven largely by changes in realized and unrealized foreign exchange losses/gains on working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0" w:firstLine="432"/>
        <w:spacing w:after="0" w:line="257" w:lineRule="auto"/>
        <w:rPr>
          <w:sz w:val="20"/>
          <w:szCs w:val="20"/>
          <w:color w:val="auto"/>
        </w:rPr>
      </w:pPr>
      <w:r>
        <w:rPr>
          <w:rFonts w:ascii="Arial" w:cs="Arial" w:eastAsia="Arial" w:hAnsi="Arial"/>
          <w:sz w:val="18"/>
          <w:szCs w:val="18"/>
          <w:color w:val="auto"/>
        </w:rPr>
        <w:t>The effective tax rate for the three months ended March 31, 2014 was 25.3% compared with 28.9% for the three months ended March 31, 2013. Excluding the impact of taxes related to restructuring and other charges in the current quarter, and the Spanish tax charge and other items impacting comparability in the prior year quarter, the first quarter 2014 adjusted effective tax rate was 25.5%, or 150 basis points higher than the first quarter 2013 adjusted effective tax rate of 24.0%. The increase in the adjusted effective tax rate was primarily driven by the absence of the U.S. R&amp;D tax credit in the current quarter.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had cash and cash equivalents of $268.6 million at March 31, 2014 compared to $405.5 million at December 31, 2013, of which $184.7 million of the balance at March 31, 2014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Operating cash flows in the first three months of 2014 were $35.0 million compared to $18.7 million in the first three months of 2013, which included an outflow of cash of $30.0 million related to pension contributions in the first quarter of 2013. The net cash outflow associated with our core working capital increased by $8.6 million compared to the first three months of 2013. Operating cash flows versus the prior year period also reflects higher incentive compensation payments when compared to 2013.</w:t>
      </w:r>
    </w:p>
    <w:p>
      <w:pPr>
        <w:spacing w:after="0" w:line="13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Working capital (current assets less current liabilities) totaled $1,085.3 million at March 31, 2014, compared to $1,092.5 million at December 31, 2013. The slight decrease in working capital reflects the cash paid for the acquisition of Aromor offset by the effects of higher commercial activity on trade receivables. We selectively participate in programs offered by certain of our global customers. When participating in these programs, we accelerate the receipt of cash by selling the selected accounts receivable positions with these customers, on a non-recourse basis, at a discount to designated third party banks. The cost of participating in these programs was immaterial to our results in all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investing activities during the first three months of 2014 utilized $122.4 million compared to $28.3 million in the prior year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paid $102.4 million (net of $0.1 million of cash acquired) for the acquisition of Aromor, which was funded from existing cash resources.</w:t>
      </w:r>
    </w:p>
    <w:p>
      <w:pPr>
        <w:spacing w:after="0" w:line="11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Additions to property, plant and equipment were $33.8 million during the first three months of 2014 compared to $29.9 million in the first three months of 2013. The increase in additions versus last year reflects planned investments in capacity and new technologies, mainly in the emerging markets. We expect additions to property, plant and equipment to approach 4-5% of our sales in 2014.</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23" w:right="259" w:bottom="1440" w:gutter="0" w:footer="0" w:header="0"/>
        </w:sectPr>
      </w:pPr>
    </w:p>
    <w:bookmarkStart w:id="23" w:name="page24"/>
    <w:bookmarkEnd w:id="23"/>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Net financing activities in the first three months of 2014 used $49.3 million compared to $11.9 million in the first three months of 2013. The increase in cash used for financing activities principally reflects the payment of the first quarter dividend in 2014 as well as increased treasury stock purchases in 2014 as compared to 2013.</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2014, we had $933.9 million of debt outstanding compared to $932.8 million outstanding at December 31, 2013.</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paid dividends totaling $31.7 million in the 2014 period. We declared a cash dividend per share of $0.39 in the first quarter of 2014 that was paid on April 8, 2014 to all shareholders of record as of March 27, 2014. There was no dividend payment made during the first quarter of 2013 as payment was made during the fourth quarter of 2012.</w:t>
      </w:r>
    </w:p>
    <w:p>
      <w:pPr>
        <w:spacing w:after="0" w:line="127"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Based on the total remaining amount of $178.0 million available under the repurchase program, approximately 1.9 million shares, or 2.3% of shares outstanding (based on the market price and shares outstanding as of March 31, 2014) could be repurchased under the program as of March 31, 2014. The purchases will be made from time to time on the open market or through private transactions as market and business conditions warrant. Repurchased shares will be placed into treasury stock. During the three months ended March 31, 2014, we repurchased 226,857 shares on the open market at an aggregate cost of $20.1 million or an average of $88.70 per share. We expect total purchases during 2014 to increase over the 2013 purchases of $51 million. The ultimate level of purchases will be a function of the daily purchase limits established in the pre-approved program according to the share price at that time.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5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to, among other things (i) modify the available tranches of the revolving loan facility provided under the credit agreement (the “Credit Facility”), (ii) reduce the applicable margin on the interest rate on advances under the Credit Facility to a range of 0.0% to 0.750% for base rate advances and 0.750% to 1.750% for Eurocurrency rate advances, depending on the Company’s public debt rating and (iii) extend the maturity date of the Credit Facility until April 4, 2019. Tranche A of the Credit Facility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19"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Although we have appealed the lower court ruling on our Spanish capital tax case, we made payment of $11.2 million (representing the principal amount) to the Spanish government relating to the case during the first quarter of 2014, which will be refundable if we prevail on our appeal.</w:t>
      </w:r>
    </w:p>
    <w:p>
      <w:pPr>
        <w:spacing w:after="0" w:line="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expect to contribute approximately $21 million to our non-U.S. pension plans during 2014. For the three months ended March 31, 2014, we have contributed $5.3 million related to our non-U.S. pension plans and $1.0 million related to our U.S. pension plans.</w:t>
      </w:r>
    </w:p>
    <w:p>
      <w:pPr>
        <w:spacing w:after="0" w:line="1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three months of 2014 or 2013.</w:t>
      </w:r>
    </w:p>
    <w:p>
      <w:pPr>
        <w:spacing w:after="0" w:line="116"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March 31, 2014 our covenant compliance provided overall borrowing capacity of $1,432 million.</w:t>
      </w:r>
    </w:p>
    <w:p>
      <w:pPr>
        <w:spacing w:after="0" w:line="127"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As of March 31, 2014 we had no borrowings under our revolving credit facility. The amount which we are able to draw down on under the facility is limited by financial covenants as described in more detail below. Our drawdown capacity on the facility was $950.5 million at March 31, 2014.</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27" w:right="259" w:bottom="1440" w:gutter="0" w:footer="0" w:header="0"/>
        </w:sectPr>
      </w:pPr>
    </w:p>
    <w:bookmarkStart w:id="24" w:name="page25"/>
    <w:bookmarkEnd w:id="24"/>
    <w:p>
      <w:pPr>
        <w:ind w:right="60" w:firstLine="432"/>
        <w:spacing w:after="0" w:line="239" w:lineRule="auto"/>
        <w:rPr>
          <w:sz w:val="20"/>
          <w:szCs w:val="20"/>
          <w:color w:val="auto"/>
        </w:rPr>
      </w:pPr>
      <w:r>
        <w:rPr>
          <w:rFonts w:ascii="Arial" w:cs="Arial" w:eastAsia="Arial" w:hAnsi="Arial"/>
          <w:sz w:val="18"/>
          <w:szCs w:val="18"/>
          <w:color w:val="auto"/>
        </w:rPr>
        <w:t xml:space="preserve">At March 31, 2014, we were in compliance with all financial and other covenants, including the net debt to adjusted EBITDA ratio. At March 31, 2014 our Net Debt/adjusted EBITDA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ratio was 1.02 to 1 as defined by the debt agreements,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79" w:lineRule="exact"/>
        <w:rPr>
          <w:sz w:val="20"/>
          <w:szCs w:val="20"/>
          <w:color w:val="auto"/>
        </w:rPr>
      </w:pPr>
    </w:p>
    <w:p>
      <w:pPr>
        <w:ind w:left="540" w:right="6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592"/>
              <w:spacing w:after="0"/>
              <w:rPr>
                <w:sz w:val="20"/>
                <w:szCs w:val="20"/>
                <w:color w:val="auto"/>
              </w:rPr>
            </w:pPr>
            <w:r>
              <w:rPr>
                <w:rFonts w:ascii="Arial" w:cs="Arial" w:eastAsia="Arial" w:hAnsi="Arial"/>
                <w:sz w:val="14"/>
                <w:szCs w:val="14"/>
                <w:i w:val="1"/>
                <w:iCs w:val="1"/>
                <w:color w:val="auto"/>
              </w:rPr>
              <w:t>Twelve Months Ended March 31,</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369.5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263.7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47.3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42.2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196.8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86.6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77.1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2.3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6.6</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17.3</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643.4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597.1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March 31, 2014 of $2.3 million consist of restructuring charges.</w:t>
      </w:r>
    </w:p>
    <w:p>
      <w:pPr>
        <w:spacing w:after="0" w:line="23" w:lineRule="exact"/>
        <w:rPr>
          <w:rFonts w:ascii="Arial" w:cs="Arial" w:eastAsia="Arial" w:hAnsi="Arial"/>
          <w:sz w:val="18"/>
          <w:szCs w:val="18"/>
          <w:i w:val="1"/>
          <w:iCs w:val="1"/>
          <w:color w:val="auto"/>
        </w:rPr>
      </w:pPr>
    </w:p>
    <w:p>
      <w:pPr>
        <w:ind w:left="340" w:right="60" w:hanging="332"/>
        <w:spacing w:after="0" w:line="255"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defined as part of Adjusted EBITDA in the terms of the Company’s credit facility agreement dated November 9, 2011, represent all other adjustments to reconcile net income to net cash provided by operations as presented on the Statement of Cash Flows, including gain on disposal of assets, stock-based compensation and pension settlement/curtailment.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March 31,</w:t>
            </w:r>
          </w:p>
        </w:tc>
        <w:tc>
          <w:tcPr>
            <w:tcW w:w="114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933.9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1,016.0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(268.6)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(300.0)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658.7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707.4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discussed in Note 12 to the Consolidated Financial Statements, at March 31, 2014,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discussed in Notes 6 and 12 to the Consolidated Financial Statements, we had Euro 9.5 million (13.2 million) in bank guarantees outstanding as of March 31, 2014 related to the tax disputes in Spain. These amounts will be reduced once we make the remaining payments pursuant to the settlement agreement and the dividend withholding tax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the Company’s expectations concerning (i) our ability to meet long-term strategic targets in 2014, (ii) our ability to capitalize on our strong emerging market presence to drive growth, (iii) the impact of our profit improvement initiatives, (iv) our competitive position in the market and financial performance in 2014, (v) future local currency growth rates and drivers of growth, (vi) the impact of our strategy to exit certain low margin sales activities in Flavors, (vii) our ability to increase gross margins in 2014, (viii) funding of investments in R&amp;D, emerging markets and technologies, (ix) capital spending in 2014, (x) the level of contributions to non-U.S. pension plans, (xi) cash flows to fund future operations</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5" w:name="page26"/>
    <w:bookmarkEnd w:id="25"/>
    <w:p>
      <w:pPr>
        <w:spacing w:after="0" w:line="271" w:lineRule="auto"/>
        <w:rPr>
          <w:sz w:val="20"/>
          <w:szCs w:val="20"/>
          <w:color w:val="auto"/>
        </w:rPr>
      </w:pPr>
      <w:r>
        <w:rPr>
          <w:rFonts w:ascii="Arial" w:cs="Arial" w:eastAsia="Arial" w:hAnsi="Arial"/>
          <w:sz w:val="17"/>
          <w:szCs w:val="17"/>
          <w:color w:val="auto"/>
        </w:rPr>
        <w:t>and to meet debt service requirements, (xii) costs and expenditures associated with the closing of our Augusta facility, and (xiii) the ultimate resolution of pending tax matters with the Spanish tax authorities. These forward-looking statements should be evaluated with consideration given to the many risks and uncertainties inherent in the Company’s business that could cause actual results and events to differ materially from those in the forward-looking statements. Certain of such forward-looking information may be identified by such terms as “expect,” “anticipate,” “believe,” “outlook,” “may,” “estimate,” “should”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Actual results of the Company may differ materially from any future results expressed or implied by such forward-looking statements. Such factors include, among others, the following:</w:t>
      </w:r>
    </w:p>
    <w:p>
      <w:pPr>
        <w:spacing w:after="0" w:line="260"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climate for the Company’s industry and demand for the Company’s products;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Company to successfully implement its strategic plan and achieve the estimated savings;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price, quality and availability of raw materials;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realize the anticipated benefits of the Aromor acquisition on a timely basis, or at all;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in consumer confidence and spending;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predict the short and long-term effects of global economic conditions;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movements in interest rates;</w:t>
      </w:r>
    </w:p>
    <w:p>
      <w:pPr>
        <w:spacing w:after="0" w:line="9" w:lineRule="exact"/>
        <w:rPr>
          <w:rFonts w:ascii="Arial" w:cs="Arial" w:eastAsia="Arial" w:hAnsi="Arial"/>
          <w:sz w:val="18"/>
          <w:szCs w:val="18"/>
          <w:color w:val="auto"/>
        </w:rPr>
      </w:pPr>
    </w:p>
    <w:p>
      <w:pPr>
        <w:ind w:left="540" w:right="4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implement its business strategy, including the achievement of anticipated cost savings, profitability, realization of price increases and growth targets;</w:t>
      </w: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ability to successfully develop new and competitive products and enter and expand its sales in new and other emerging markets;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any unanticipated costs and construction or start-up delays in the expansion of any of the Company’s facilities;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Company’s principal foreign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the Company’s hedging and risk management strategies;</w:t>
      </w:r>
    </w:p>
    <w:p>
      <w:pPr>
        <w:spacing w:after="0" w:line="9" w:lineRule="exact"/>
        <w:rPr>
          <w:rFonts w:ascii="Arial" w:cs="Arial" w:eastAsia="Arial" w:hAnsi="Arial"/>
          <w:sz w:val="18"/>
          <w:szCs w:val="18"/>
          <w:color w:val="auto"/>
        </w:rPr>
      </w:pPr>
    </w:p>
    <w:p>
      <w:pPr>
        <w:ind w:left="540" w:right="38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540" w:right="4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possible pension funding obligations and increased pension expense, particularly as a result of changes in asset returns or discount rates, on the Company’s cash flow and results of operations;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implement its Fragrance Ingredients Rationalization plan, including the achievement of anticipated cost savings;</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the Company, its operations or its representatives by U.S. and foreign governments;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federal, state, local and foreign tax legislation or adverse results of tax audits, assessments, or disputes;</w:t>
      </w:r>
    </w:p>
    <w:p>
      <w:pPr>
        <w:spacing w:after="0" w:line="9" w:lineRule="exact"/>
        <w:rPr>
          <w:rFonts w:ascii="Arial" w:cs="Arial" w:eastAsia="Arial" w:hAnsi="Arial"/>
          <w:sz w:val="18"/>
          <w:szCs w:val="18"/>
          <w:color w:val="auto"/>
        </w:rPr>
      </w:pPr>
    </w:p>
    <w:p>
      <w:pPr>
        <w:ind w:left="540" w:right="420" w:hanging="316"/>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quickly and effectively implement its disaster recovery and crisis management plans;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due to accounting rules or regulations.</w:t>
      </w:r>
    </w:p>
    <w:p>
      <w:pPr>
        <w:spacing w:after="0" w:line="1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the Company’s business. Accordingly, the Company undertakes no obligation to publicly update or revise any forward-looking statements, whether as a result of new information, future events, or otherwise.</w:t>
      </w: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2013 Form 10-K for additional information regarding factors that could affect the Company’s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6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uses non-GAAP financial operating measures in this Quarterly Report, including: (i) local currency sales (which eliminates the effects that result from translating its international sales in U.S. dollars), (ii) adjusted operating profit (which excludes the operational improvement initiative and restructuring charges), and (iii) adjusted effective tax rate (which excludes restructuring charges and operational improvement initiative costs).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1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and the exit of certain low margin sales activities on operating results and financial condition.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2013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March 31, 2014 that have materially affected, or are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94"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We are currently involved in a legal proceeding with the Spanish tax authorities that challenges tax deductions taken in our Spanish subsidiaries’ tax returns and allege claims of tax avoidance. As of March 31, 2014, the Company had one outstanding income tax case in Spain relating to fiscal year 2002. The Company has fully reserved the assessment originally asserted by the Spanish tax authority. The Company is awaiting a decision on its appeal and in order to proceed with the appeal,</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7" w:name="page28"/>
    <w:bookmarkEnd w:id="27"/>
    <w:p>
      <w:pPr>
        <w:ind w:right="400"/>
        <w:spacing w:after="0" w:line="277" w:lineRule="auto"/>
        <w:rPr>
          <w:sz w:val="20"/>
          <w:szCs w:val="20"/>
          <w:color w:val="auto"/>
        </w:rPr>
      </w:pPr>
      <w:r>
        <w:rPr>
          <w:rFonts w:ascii="Arial" w:cs="Arial" w:eastAsia="Arial" w:hAnsi="Arial"/>
          <w:sz w:val="18"/>
          <w:szCs w:val="18"/>
          <w:color w:val="auto"/>
        </w:rPr>
        <w:t>the Company was required to post a bank guaranty. As of March 31, 2014, the Company had a remaining posted bank guaranty of Euro 1.8 million ($2.5 million) associated with the 2002 appeal.</w:t>
      </w:r>
    </w:p>
    <w:p>
      <w:pPr>
        <w:spacing w:after="0" w:line="116"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The Spanish tax authorities have also alleged claims related to capital tax positions arising from the business structure adopted by our Spanish subsidiaries. During the fourth quarter of 2013, the Company was notified that the Spanish High Court of Justice ruled against us in regards to the 2002 capital tax case. As a result, the Company recorded a charge of Euro 9.6 million ($13.0 million or $9.1 million, after tax) for the year ended December 31, 2013. On January 22, 2014, we filed an appeal. In order to avoid future interest costs in the event our appeal is unsuccessful, we paid $11.2 million (representing the principal amount) during the first quarter of 2014. Such amount will be refundable if we prevail in our appeal.</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to the above, the Company has also been a party to dividend withholding tax controversies in Spain. At March 31, 2014, the Company had Euro 4.5 million ($6.2 million) reflected in income taxes payable in connection with three of these cases. The fourth and final remaining appeal has not yet been heard by the Spanish Supreme Court, with an aggregate value of Euro 3.2 million ($4.5 million), including estimated interest, which is fully reserved as of March 31, 2014. As of March 31, 2014, the Company had posted bank guarantees of Euro 7.7 million ($10.7 million) in order to proceed with the appeal in this controversy.</w:t>
      </w:r>
    </w:p>
    <w:p>
      <w:pPr>
        <w:spacing w:after="0" w:line="13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The case is currently proceeding through general discovery with a trial on the merits anticipated in early 2015. The Company denies the allegations and will vigorously defend its position in Court. At this preliminary stage of the litigation, based on the information currently available to the Company, management does not believe that this matter represents a material loss contingency.</w:t>
      </w:r>
    </w:p>
    <w:p>
      <w:pPr>
        <w:spacing w:after="0" w:line="1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28" w:name="page29"/>
    <w:bookmarkEnd w:id="28"/>
    <w:p>
      <w:pPr>
        <w:spacing w:after="0" w:line="209" w:lineRule="auto"/>
        <w:framePr w:w="2000" w:h="160" w:wrap="auto" w:vAnchor="page" w:hAnchor="page" w:x="1380" w:y="7097"/>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820" w:h="160" w:wrap="auto" w:vAnchor="page" w:hAnchor="page" w:x="1380" w:y="7367"/>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380" w:y="7637"/>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spacing w:after="0"/>
        <w:rPr>
          <w:sz w:val="20"/>
          <w:szCs w:val="20"/>
          <w:color w:val="auto"/>
        </w:rPr>
      </w:pPr>
      <w:r>
        <w:rPr>
          <w:rFonts w:ascii="Arial" w:cs="Arial" w:eastAsia="Arial" w:hAnsi="Arial"/>
          <w:sz w:val="18"/>
          <w:szCs w:val="18"/>
          <w:color w:val="auto"/>
        </w:rPr>
        <w:t>The table below reflects shares of common stock we repurchased during the first quarter of 2014.</w:t>
      </w:r>
    </w:p>
    <w:p>
      <w:pPr>
        <w:spacing w:after="0" w:line="339"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1 - 31, 2014</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71,241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192,015,256</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February 1 - 28, 2014</w:t>
            </w:r>
          </w:p>
        </w:tc>
        <w:tc>
          <w:tcPr>
            <w:tcW w:w="2280" w:type="dxa"/>
            <w:vAlign w:val="bottom"/>
          </w:tcPr>
          <w:p>
            <w:pPr>
              <w:jc w:val="right"/>
              <w:ind w:right="38"/>
              <w:spacing w:after="0"/>
              <w:rPr>
                <w:sz w:val="20"/>
                <w:szCs w:val="20"/>
                <w:color w:val="auto"/>
              </w:rPr>
            </w:pPr>
            <w:r>
              <w:rPr>
                <w:rFonts w:ascii="Arial" w:cs="Arial" w:eastAsia="Arial" w:hAnsi="Arial"/>
                <w:sz w:val="18"/>
                <w:szCs w:val="18"/>
                <w:color w:val="auto"/>
              </w:rPr>
              <w:t>81,992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81,992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184,889,424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1 - 31, 2014</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73,624</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93.38</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73,624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178,014,213</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226,857</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88.70</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226,857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178,014,213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were repurchased pursuant to the repurchase program announced in December 2012, with repurchases beginning in the first quarter of 2013. Repurchases under the program are limited to $250 million in total repurchase price, and the expiration date is December 31, 2016. Authorization of the repurchase program may be modified, suspended, or discontinued at any time.</w:t>
      </w:r>
    </w:p>
    <w:p>
      <w:pPr>
        <w:spacing w:after="0" w:line="326"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9440" w:type="dxa"/>
            <w:vAlign w:val="bottom"/>
          </w:tcPr>
          <w:p>
            <w:pPr>
              <w:spacing w:after="0"/>
              <w:rPr>
                <w:sz w:val="17"/>
                <w:szCs w:val="17"/>
                <w:color w:val="auto"/>
              </w:rPr>
            </w:pPr>
          </w:p>
        </w:tc>
      </w:tr>
      <w:tr>
        <w:trPr>
          <w:trHeight w:val="615"/>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Units Agreement under International Flavors &amp; Fragrances Inc. 2010 Stock Award and Incentive Plan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5"/>
              </w:rPr>
              <w:t>Form of Equity Choice Program Award Agreement under International Flavors &amp; Fragrances Inc. 2010 Stock Award and Incentive Plan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Restricted Stock Units Award Agreement, dated as of March 6, 2014, between International Flavors and Fragrances Inc. and Hernan Vaisman</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Certification of Douglas D. Tough pursuant to Section 302 of the Sarbanes-Oxley Act of 2002.</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Certification of Kevin C. Berryman pursuant to Section 302 of the Sarbanes-Oxley Act of 2002.</w:t>
            </w:r>
          </w:p>
        </w:tc>
      </w:tr>
    </w:tbl>
    <w:p>
      <w:pPr>
        <w:spacing w:after="0" w:line="40" w:lineRule="exact"/>
        <w:rPr>
          <w:rFonts w:ascii="Arial" w:cs="Arial" w:eastAsia="Arial" w:hAnsi="Arial"/>
          <w:sz w:val="16"/>
          <w:szCs w:val="16"/>
          <w:color w:val="auto"/>
        </w:rPr>
      </w:pPr>
    </w:p>
    <w:p>
      <w:pPr>
        <w:ind w:left="1180" w:right="280" w:hanging="1145"/>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Douglas D. Tough and Kevin C. Berryman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29" w:name="page30"/>
    <w:bookmarkEnd w:id="29"/>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94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D. Tough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Douglas D. Tough</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94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C.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Kevin C. Berryman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80"/>
          </w:cols>
          <w:pgMar w:left="240" w:top="580" w:right="879" w:bottom="1440" w:gutter="0" w:footer="0" w:header="0"/>
        </w:sectPr>
      </w:pPr>
    </w:p>
    <w:bookmarkStart w:id="30" w:name="page31"/>
    <w:bookmarkEnd w:id="30"/>
    <w:tbl>
      <w:tblPr>
        <w:tblLayout w:type="fixed"/>
        <w:tblInd w:w="5"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42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515"/>
        </w:trPr>
        <w:tc>
          <w:tcPr>
            <w:tcW w:w="920" w:type="dxa"/>
            <w:vAlign w:val="bottom"/>
          </w:tcPr>
          <w:p>
            <w:pPr>
              <w:jc w:val="right"/>
              <w:ind w:right="113"/>
              <w:spacing w:after="0"/>
              <w:rPr>
                <w:sz w:val="20"/>
                <w:szCs w:val="20"/>
                <w:color w:val="auto"/>
              </w:rPr>
            </w:pPr>
            <w:r>
              <w:rPr>
                <w:rFonts w:ascii="Arial" w:cs="Arial" w:eastAsia="Arial" w:hAnsi="Arial"/>
                <w:sz w:val="14"/>
                <w:szCs w:val="14"/>
                <w:color w:val="auto"/>
              </w:rPr>
              <w:t>Number</w:t>
            </w:r>
          </w:p>
        </w:tc>
        <w:tc>
          <w:tcPr>
            <w:tcW w:w="10420" w:type="dxa"/>
            <w:vAlign w:val="bottom"/>
          </w:tcPr>
          <w:p>
            <w:pPr>
              <w:ind w:left="5000"/>
              <w:spacing w:after="0"/>
              <w:rPr>
                <w:sz w:val="20"/>
                <w:szCs w:val="20"/>
                <w:color w:val="auto"/>
              </w:rPr>
            </w:pPr>
            <w:r>
              <w:rPr>
                <w:rFonts w:ascii="Arial" w:cs="Arial" w:eastAsia="Arial" w:hAnsi="Arial"/>
                <w:sz w:val="14"/>
                <w:szCs w:val="14"/>
                <w:color w:val="auto"/>
              </w:rPr>
              <w:t>Description</w:t>
            </w:r>
          </w:p>
        </w:tc>
      </w:tr>
      <w:tr>
        <w:trPr>
          <w:trHeight w:val="255"/>
        </w:trPr>
        <w:tc>
          <w:tcPr>
            <w:tcW w:w="920" w:type="dxa"/>
            <w:vAlign w:val="bottom"/>
          </w:tcPr>
          <w:p>
            <w:pPr>
              <w:jc w:val="right"/>
              <w:ind w:right="513"/>
              <w:spacing w:after="0"/>
              <w:rPr>
                <w:sz w:val="20"/>
                <w:szCs w:val="20"/>
                <w:color w:val="auto"/>
              </w:rPr>
            </w:pPr>
            <w:r>
              <w:rPr>
                <w:rFonts w:ascii="Arial" w:cs="Arial" w:eastAsia="Arial" w:hAnsi="Arial"/>
                <w:sz w:val="18"/>
                <w:szCs w:val="18"/>
                <w:color w:val="auto"/>
                <w:w w:val="85"/>
              </w:rPr>
              <w:t>10.1</w:t>
            </w:r>
          </w:p>
        </w:tc>
        <w:tc>
          <w:tcPr>
            <w:tcW w:w="10420" w:type="dxa"/>
            <w:vAlign w:val="bottom"/>
          </w:tcPr>
          <w:p>
            <w:pPr>
              <w:ind w:left="220"/>
              <w:spacing w:after="0"/>
              <w:rPr>
                <w:sz w:val="20"/>
                <w:szCs w:val="20"/>
                <w:color w:val="auto"/>
              </w:rPr>
            </w:pPr>
            <w:r>
              <w:rPr>
                <w:rFonts w:ascii="Arial" w:cs="Arial" w:eastAsia="Arial" w:hAnsi="Arial"/>
                <w:sz w:val="18"/>
                <w:szCs w:val="18"/>
                <w:color w:val="auto"/>
              </w:rPr>
              <w:t>Form of Restricted Stock Units Agreement under International Flavors &amp; Fragrances Inc. 2010 Stock Award and Incentive Plan</w:t>
            </w:r>
          </w:p>
        </w:tc>
      </w:tr>
      <w:tr>
        <w:trPr>
          <w:trHeight w:val="486"/>
        </w:trPr>
        <w:tc>
          <w:tcPr>
            <w:tcW w:w="920" w:type="dxa"/>
            <w:vAlign w:val="bottom"/>
          </w:tcPr>
          <w:p>
            <w:pPr>
              <w:jc w:val="right"/>
              <w:ind w:right="513"/>
              <w:spacing w:after="0"/>
              <w:rPr>
                <w:sz w:val="20"/>
                <w:szCs w:val="20"/>
                <w:color w:val="auto"/>
              </w:rPr>
            </w:pPr>
            <w:r>
              <w:rPr>
                <w:rFonts w:ascii="Arial" w:cs="Arial" w:eastAsia="Arial" w:hAnsi="Arial"/>
                <w:sz w:val="18"/>
                <w:szCs w:val="18"/>
                <w:color w:val="auto"/>
                <w:w w:val="85"/>
              </w:rPr>
              <w:t>10.2</w:t>
            </w:r>
          </w:p>
        </w:tc>
        <w:tc>
          <w:tcPr>
            <w:tcW w:w="10420" w:type="dxa"/>
            <w:vAlign w:val="bottom"/>
          </w:tcPr>
          <w:p>
            <w:pPr>
              <w:ind w:left="220"/>
              <w:spacing w:after="0"/>
              <w:rPr>
                <w:sz w:val="20"/>
                <w:szCs w:val="20"/>
                <w:color w:val="auto"/>
              </w:rPr>
            </w:pPr>
            <w:r>
              <w:rPr>
                <w:rFonts w:ascii="Arial" w:cs="Arial" w:eastAsia="Arial" w:hAnsi="Arial"/>
                <w:sz w:val="18"/>
                <w:szCs w:val="18"/>
                <w:color w:val="auto"/>
                <w:w w:val="95"/>
              </w:rPr>
              <w:t>Form of Equity Choice Program Award Agreement under International Flavors &amp; Fragrances Inc. 2010 Stock Award and Incentive Plan</w:t>
            </w:r>
          </w:p>
        </w:tc>
      </w:tr>
      <w:tr>
        <w:trPr>
          <w:trHeight w:val="486"/>
        </w:trPr>
        <w:tc>
          <w:tcPr>
            <w:tcW w:w="920" w:type="dxa"/>
            <w:vAlign w:val="bottom"/>
          </w:tcPr>
          <w:p>
            <w:pPr>
              <w:jc w:val="right"/>
              <w:ind w:right="513"/>
              <w:spacing w:after="0"/>
              <w:rPr>
                <w:sz w:val="20"/>
                <w:szCs w:val="20"/>
                <w:color w:val="auto"/>
              </w:rPr>
            </w:pPr>
            <w:r>
              <w:rPr>
                <w:rFonts w:ascii="Arial" w:cs="Arial" w:eastAsia="Arial" w:hAnsi="Arial"/>
                <w:sz w:val="18"/>
                <w:szCs w:val="18"/>
                <w:color w:val="auto"/>
                <w:w w:val="85"/>
              </w:rPr>
              <w:t>10.3</w:t>
            </w:r>
          </w:p>
        </w:tc>
        <w:tc>
          <w:tcPr>
            <w:tcW w:w="10420" w:type="dxa"/>
            <w:vAlign w:val="bottom"/>
          </w:tcPr>
          <w:p>
            <w:pPr>
              <w:ind w:left="220"/>
              <w:spacing w:after="0"/>
              <w:rPr>
                <w:sz w:val="20"/>
                <w:szCs w:val="20"/>
                <w:color w:val="auto"/>
              </w:rPr>
            </w:pPr>
            <w:r>
              <w:rPr>
                <w:rFonts w:ascii="Arial" w:cs="Arial" w:eastAsia="Arial" w:hAnsi="Arial"/>
                <w:sz w:val="18"/>
                <w:szCs w:val="18"/>
                <w:color w:val="auto"/>
                <w:w w:val="90"/>
              </w:rPr>
              <w:t>Restricted Stock Units Award Agreement, dated as of March 6, 2014, between International Flavors and Fragrances Inc. and Hernan Vaisman</w:t>
            </w:r>
          </w:p>
        </w:tc>
      </w:tr>
      <w:tr>
        <w:trPr>
          <w:trHeight w:val="270"/>
        </w:trPr>
        <w:tc>
          <w:tcPr>
            <w:tcW w:w="920" w:type="dxa"/>
            <w:vAlign w:val="bottom"/>
          </w:tcPr>
          <w:p>
            <w:pPr>
              <w:jc w:val="right"/>
              <w:ind w:right="513"/>
              <w:spacing w:after="0"/>
              <w:rPr>
                <w:sz w:val="20"/>
                <w:szCs w:val="20"/>
                <w:color w:val="auto"/>
              </w:rPr>
            </w:pPr>
            <w:r>
              <w:rPr>
                <w:rFonts w:ascii="Arial" w:cs="Arial" w:eastAsia="Arial" w:hAnsi="Arial"/>
                <w:sz w:val="18"/>
                <w:szCs w:val="18"/>
                <w:color w:val="auto"/>
                <w:w w:val="85"/>
              </w:rPr>
              <w:t>31.1</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Douglas D. Tough pursuant to Section 302 of the Sarbanes-Oxley Act of 2002.</w:t>
            </w:r>
          </w:p>
        </w:tc>
      </w:tr>
      <w:tr>
        <w:trPr>
          <w:trHeight w:val="270"/>
        </w:trPr>
        <w:tc>
          <w:tcPr>
            <w:tcW w:w="920" w:type="dxa"/>
            <w:vAlign w:val="bottom"/>
          </w:tcPr>
          <w:p>
            <w:pPr>
              <w:jc w:val="right"/>
              <w:ind w:right="513"/>
              <w:spacing w:after="0"/>
              <w:rPr>
                <w:sz w:val="20"/>
                <w:szCs w:val="20"/>
                <w:color w:val="auto"/>
              </w:rPr>
            </w:pPr>
            <w:r>
              <w:rPr>
                <w:rFonts w:ascii="Arial" w:cs="Arial" w:eastAsia="Arial" w:hAnsi="Arial"/>
                <w:sz w:val="18"/>
                <w:szCs w:val="18"/>
                <w:color w:val="auto"/>
                <w:w w:val="85"/>
              </w:rPr>
              <w:t>31.2</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Kevin C. Berryman pursuant to Section 302 of the Sarbanes-Oxley Act of 2002.</w:t>
            </w:r>
          </w:p>
        </w:tc>
      </w:tr>
    </w:tbl>
    <w:p>
      <w:pPr>
        <w:spacing w:after="0" w:line="40" w:lineRule="exact"/>
        <w:rPr>
          <w:sz w:val="20"/>
          <w:szCs w:val="20"/>
          <w:color w:val="auto"/>
        </w:rPr>
      </w:pPr>
    </w:p>
    <w:p>
      <w:pPr>
        <w:ind w:left="1145" w:right="240" w:hanging="1145"/>
        <w:spacing w:after="0" w:line="277" w:lineRule="auto"/>
        <w:tabs>
          <w:tab w:leader="none" w:pos="11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Douglas D. Tough and Kevin C. Berryman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4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12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5"/>
          </w:cols>
          <w:pgMar w:left="275" w:top="580" w:right="27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6A6A6"/>
        </w:rPr>
        <w:t>EXHIBIT 10.1</w:t>
      </w:r>
    </w:p>
    <w:p>
      <w:pPr>
        <w:spacing w:after="0" w:line="4" w:lineRule="exact"/>
        <w:rPr>
          <w:sz w:val="20"/>
          <w:szCs w:val="20"/>
          <w:color w:val="auto"/>
        </w:rPr>
      </w:pPr>
    </w:p>
    <w:p>
      <w:pPr>
        <w:jc w:val="center"/>
        <w:ind w:left="260" w:right="2660"/>
        <w:spacing w:after="0" w:line="245" w:lineRule="auto"/>
        <w:rPr>
          <w:sz w:val="20"/>
          <w:szCs w:val="20"/>
          <w:color w:val="auto"/>
        </w:rPr>
      </w:pPr>
      <w:r>
        <w:rPr>
          <w:rFonts w:ascii="Arial" w:cs="Arial" w:eastAsia="Arial" w:hAnsi="Arial"/>
          <w:sz w:val="22"/>
          <w:szCs w:val="22"/>
          <w:b w:val="1"/>
          <w:bCs w:val="1"/>
          <w:color w:val="auto"/>
        </w:rPr>
        <w:t>INTERNATIONAL FLAVORS &amp; FRAGRANCES INC. RESTRICTED STOCK UNITS (“</w:t>
      </w:r>
      <w:r>
        <w:rPr>
          <w:rFonts w:ascii="Arial" w:cs="Arial" w:eastAsia="Arial" w:hAnsi="Arial"/>
          <w:sz w:val="22"/>
          <w:szCs w:val="22"/>
          <w:b w:val="1"/>
          <w:bCs w:val="1"/>
          <w:u w:val="single" w:color="auto"/>
          <w:color w:val="auto"/>
        </w:rPr>
        <w:t>RSU”)</w:t>
      </w:r>
      <w:r>
        <w:rPr>
          <w:rFonts w:ascii="Arial" w:cs="Arial" w:eastAsia="Arial" w:hAnsi="Arial"/>
          <w:sz w:val="22"/>
          <w:szCs w:val="22"/>
          <w:b w:val="1"/>
          <w:bCs w:val="1"/>
          <w:color w:val="auto"/>
        </w:rPr>
        <w:t xml:space="preserve"> AWARD AGREEMENT (the “</w:t>
      </w:r>
      <w:r>
        <w:rPr>
          <w:rFonts w:ascii="Arial" w:cs="Arial" w:eastAsia="Arial" w:hAnsi="Arial"/>
          <w:sz w:val="22"/>
          <w:szCs w:val="22"/>
          <w:b w:val="1"/>
          <w:bCs w:val="1"/>
          <w:u w:val="single" w:color="auto"/>
          <w:color w:val="auto"/>
        </w:rPr>
        <w:t>RSU AWARD AGREEMENT</w:t>
      </w:r>
      <w:r>
        <w:rPr>
          <w:rFonts w:ascii="Arial" w:cs="Arial" w:eastAsia="Arial" w:hAnsi="Arial"/>
          <w:sz w:val="22"/>
          <w:szCs w:val="22"/>
          <w:b w:val="1"/>
          <w:bCs w:val="1"/>
          <w:color w:val="auto"/>
        </w:rPr>
        <w:t>”) PLAN YEAR [201X]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tabs>
          <w:tab w:leader="none" w:pos="306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r>
        <w:rPr>
          <w:sz w:val="20"/>
          <w:szCs w:val="20"/>
          <w:color w:val="auto"/>
        </w:rPr>
        <w:tab/>
      </w:r>
      <w:r>
        <w:rPr>
          <w:rFonts w:ascii="Arial" w:cs="Arial" w:eastAsia="Arial" w:hAnsi="Arial"/>
          <w:sz w:val="18"/>
          <w:szCs w:val="18"/>
          <w:b w:val="1"/>
          <w:bCs w:val="1"/>
          <w:color w:val="auto"/>
        </w:rPr>
        <w:t>Job Level</w:t>
      </w:r>
      <w:r>
        <w:rPr>
          <w:rFonts w:ascii="Arial" w:cs="Arial" w:eastAsia="Arial" w:hAnsi="Arial"/>
          <w:sz w:val="18"/>
          <w:szCs w:val="18"/>
          <w:color w:val="auto"/>
        </w:rPr>
        <w:t>: [#]</w:t>
      </w:r>
    </w:p>
    <w:p>
      <w:pPr>
        <w:spacing w:after="0" w:line="157"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[ORG. UNIT/LOCATION]</w:t>
      </w:r>
      <w:r>
        <w:rPr>
          <w:sz w:val="20"/>
          <w:szCs w:val="20"/>
          <w:color w:val="auto"/>
        </w:rPr>
        <w:tab/>
      </w:r>
      <w:r>
        <w:rPr>
          <w:rFonts w:ascii="Arial" w:cs="Arial" w:eastAsia="Arial" w:hAnsi="Arial"/>
          <w:sz w:val="19"/>
          <w:szCs w:val="19"/>
          <w:b w:val="1"/>
          <w:bCs w:val="1"/>
          <w:color w:val="auto"/>
        </w:rPr>
        <w:t>Position</w:t>
      </w:r>
      <w:r>
        <w:rPr>
          <w:rFonts w:ascii="Arial" w:cs="Arial" w:eastAsia="Arial" w:hAnsi="Arial"/>
          <w:sz w:val="19"/>
          <w:szCs w:val="19"/>
          <w:color w:val="auto"/>
        </w:rPr>
        <w:t>: [POSITION]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RSU Award Agreement, dated as of [X, 20XX]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2010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6 of the Plan, Participant has been granted an RSU Award, as described below (the “</w:t>
      </w:r>
      <w:r>
        <w:rPr>
          <w:rFonts w:ascii="Arial" w:cs="Arial" w:eastAsia="Arial" w:hAnsi="Arial"/>
          <w:sz w:val="18"/>
          <w:szCs w:val="18"/>
          <w:b w:val="1"/>
          <w:bCs w:val="1"/>
          <w:u w:val="single" w:color="auto"/>
          <w:color w:val="auto"/>
        </w:rPr>
        <w:t>RSU Award</w:t>
      </w:r>
      <w:r>
        <w:rPr>
          <w:rFonts w:ascii="Arial" w:cs="Arial" w:eastAsia="Arial" w:hAnsi="Arial"/>
          <w:sz w:val="20"/>
          <w:szCs w:val="20"/>
          <w:color w:val="auto"/>
        </w:rPr>
        <w:t>”) subject to the Participant’s acceptance of the attached RSU Terms and Conditions and the Plan, both of which are made a part hereof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380365</wp:posOffset>
            </wp:positionV>
            <wp:extent cx="7117715"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7715" cy="72898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RSU Award Information</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Grant Date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Award Value on</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 RSUs</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Closing Share Price</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Vesting Date</w:t>
            </w:r>
          </w:p>
        </w:tc>
        <w:tc>
          <w:tcPr>
            <w:tcW w:w="3220" w:type="dxa"/>
            <w:vAlign w:val="bottom"/>
            <w:tcBorders>
              <w:top w:val="single" w:sz="8" w:color="auto"/>
            </w:tcBorders>
          </w:tcPr>
          <w:p>
            <w:pPr>
              <w:ind w:left="740"/>
              <w:spacing w:after="0"/>
              <w:rPr>
                <w:sz w:val="20"/>
                <w:szCs w:val="20"/>
                <w:color w:val="auto"/>
              </w:rPr>
            </w:pPr>
            <w:r>
              <w:rPr>
                <w:rFonts w:ascii="Arial" w:cs="Arial" w:eastAsia="Arial" w:hAnsi="Arial"/>
                <w:sz w:val="18"/>
                <w:szCs w:val="18"/>
                <w:b w:val="1"/>
                <w:bCs w:val="1"/>
                <w:color w:val="auto"/>
              </w:rPr>
              <w:t>Settlement of Award</w:t>
            </w:r>
          </w:p>
        </w:tc>
      </w:tr>
      <w:tr>
        <w:trPr>
          <w:trHeight w:val="239"/>
        </w:trPr>
        <w:tc>
          <w:tcPr>
            <w:tcW w:w="10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Grant Date ($US)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Granted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on Grant Date ($US)</w:t>
            </w:r>
          </w:p>
        </w:tc>
        <w:tc>
          <w:tcPr>
            <w:tcW w:w="1440" w:type="dxa"/>
            <w:vAlign w:val="bottom"/>
            <w:tcBorders>
              <w:right w:val="single" w:sz="8" w:color="auto"/>
            </w:tcBorders>
          </w:tcPr>
          <w:p>
            <w:pPr>
              <w:spacing w:after="0"/>
              <w:rPr>
                <w:sz w:val="20"/>
                <w:szCs w:val="20"/>
                <w:color w:val="auto"/>
              </w:rPr>
            </w:pPr>
          </w:p>
        </w:tc>
        <w:tc>
          <w:tcPr>
            <w:tcW w:w="3220" w:type="dxa"/>
            <w:vAlign w:val="bottom"/>
          </w:tcPr>
          <w:p>
            <w:pPr>
              <w:spacing w:after="0"/>
              <w:rPr>
                <w:sz w:val="20"/>
                <w:szCs w:val="20"/>
                <w:color w:val="auto"/>
              </w:rPr>
            </w:pPr>
          </w:p>
        </w:tc>
      </w:tr>
      <w:tr>
        <w:trPr>
          <w:trHeight w:val="419"/>
        </w:trPr>
        <w:tc>
          <w:tcPr>
            <w:tcW w:w="10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r>
        <w:trPr>
          <w:trHeight w:val="200"/>
        </w:trPr>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[DATE]</w:t>
            </w:r>
          </w:p>
        </w:tc>
        <w:tc>
          <w:tcPr>
            <w:tcW w:w="18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[$___]</w:t>
            </w:r>
          </w:p>
        </w:tc>
        <w:tc>
          <w:tcPr>
            <w:tcW w:w="18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[__________]</w:t>
            </w:r>
          </w:p>
        </w:tc>
        <w:tc>
          <w:tcPr>
            <w:tcW w:w="1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[$__.__]</w:t>
            </w:r>
          </w:p>
        </w:tc>
        <w:tc>
          <w:tcPr>
            <w:tcW w:w="14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[Date]</w:t>
            </w:r>
          </w:p>
        </w:tc>
        <w:tc>
          <w:tcPr>
            <w:tcW w:w="322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Awards are settled within [60 days]</w:t>
            </w:r>
          </w:p>
        </w:tc>
      </w:tr>
      <w:tr>
        <w:trPr>
          <w:trHeight w:val="203"/>
        </w:trPr>
        <w:tc>
          <w:tcPr>
            <w:tcW w:w="10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3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of Vesting by delivery of [one Share</w:t>
            </w:r>
          </w:p>
        </w:tc>
      </w:tr>
      <w:tr>
        <w:trPr>
          <w:trHeight w:val="203"/>
        </w:trPr>
        <w:tc>
          <w:tcPr>
            <w:tcW w:w="10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3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of Company Common Stock] [Cash</w:t>
            </w:r>
          </w:p>
        </w:tc>
      </w:tr>
      <w:tr>
        <w:trPr>
          <w:trHeight w:val="203"/>
        </w:trPr>
        <w:tc>
          <w:tcPr>
            <w:tcW w:w="10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3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equal to the Fair Market Value of one</w:t>
            </w:r>
          </w:p>
        </w:tc>
      </w:tr>
      <w:tr>
        <w:trPr>
          <w:trHeight w:val="203"/>
        </w:trPr>
        <w:tc>
          <w:tcPr>
            <w:tcW w:w="10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3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 of Company Common Stock</w:t>
            </w:r>
          </w:p>
        </w:tc>
      </w:tr>
      <w:tr>
        <w:trPr>
          <w:trHeight w:val="203"/>
        </w:trPr>
        <w:tc>
          <w:tcPr>
            <w:tcW w:w="10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3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on the Vesting Date]] for each RSU</w:t>
            </w:r>
          </w:p>
        </w:tc>
      </w:tr>
      <w:tr>
        <w:trPr>
          <w:trHeight w:val="246"/>
        </w:trPr>
        <w:tc>
          <w:tcPr>
            <w:tcW w:w="10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being settled</w:t>
            </w:r>
          </w:p>
        </w:tc>
      </w:tr>
    </w:tbl>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ELECTRONICALLY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RSU AWARD AGREEMENT OR THE RSU TERMS AND CONDITIONS.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 ] I ACCEPT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7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(the “</w:t>
      </w:r>
      <w:r>
        <w:rPr>
          <w:rFonts w:ascii="Arial" w:cs="Arial" w:eastAsia="Arial" w:hAnsi="Arial"/>
          <w:sz w:val="22"/>
          <w:szCs w:val="22"/>
          <w:b w:val="1"/>
          <w:bCs w:val="1"/>
          <w:u w:val="single" w:color="auto"/>
          <w:color w:val="auto"/>
        </w:rPr>
        <w:t>RSU TERMS AND CONDITIONS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These RSU Terms and Conditions, including the relevant addendum,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RSU Award Agreement made under the Plan, which is hereby incorporated by reference.</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RSU Terms and Conditions and the Plan, the provisions of the Plan shall govern.</w:t>
      </w:r>
    </w:p>
    <w:p>
      <w:pPr>
        <w:spacing w:after="0" w:line="196" w:lineRule="exact"/>
        <w:rPr>
          <w:sz w:val="20"/>
          <w:szCs w:val="20"/>
          <w:color w:val="auto"/>
        </w:rPr>
      </w:pPr>
    </w:p>
    <w:p>
      <w:pPr>
        <w:jc w:val="both"/>
        <w:ind w:left="660" w:hanging="328"/>
        <w:spacing w:after="0" w:line="25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Amount of RSU Award</w:t>
      </w:r>
      <w:r>
        <w:rPr>
          <w:rFonts w:ascii="Arial" w:cs="Arial" w:eastAsia="Arial" w:hAnsi="Arial"/>
          <w:sz w:val="22"/>
          <w:szCs w:val="22"/>
          <w:color w:val="auto"/>
        </w:rPr>
        <w:t>. As of the Grant Date, the Participant shall be eligible to receive an RSU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RSUs specified on the first page of the RSU Award Agreement. The RSU Award provides Participant with a contractual right to receive [one share of Stock][cash equal to the Fair Market Value of one share of Stock as of the Vesting Date] for each RSU being settled upon vesting.</w:t>
      </w:r>
    </w:p>
    <w:p>
      <w:pPr>
        <w:spacing w:after="0" w:line="391"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RSU Award shall be at the discretion of the Committee as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in Section 5 of the Plan. The grant of an RSU Award is a one-time benefit and does not create any contractual or other right to receive any future RSU Award.</w:t>
      </w:r>
    </w:p>
    <w:p>
      <w:pPr>
        <w:spacing w:after="0" w:line="210"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Vesting and Account. </w:t>
      </w:r>
      <w:r>
        <w:rPr>
          <w:rFonts w:ascii="Arial" w:cs="Arial" w:eastAsia="Arial" w:hAnsi="Arial"/>
          <w:sz w:val="22"/>
          <w:szCs w:val="22"/>
          <w:color w:val="auto"/>
        </w:rPr>
        <w:t>The RSU Award vests on the date set forth on the first page of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not previously forfeited, and is 0% vested before expiration of this period Prior to vesting, the Company or its designated agent shall maintain a bookkeeping account reflecting the number of RSUs credited to a Participant’s account.</w:t>
      </w:r>
    </w:p>
    <w:p>
      <w:pPr>
        <w:spacing w:after="0" w:line="216" w:lineRule="exact"/>
        <w:rPr>
          <w:rFonts w:ascii="Arial" w:cs="Arial" w:eastAsia="Arial" w:hAnsi="Arial"/>
          <w:sz w:val="22"/>
          <w:szCs w:val="22"/>
          <w:color w:val="auto"/>
        </w:rPr>
      </w:pPr>
    </w:p>
    <w:p>
      <w:pPr>
        <w:jc w:val="both"/>
        <w:ind w:left="660" w:hanging="328"/>
        <w:spacing w:after="0" w:line="276" w:lineRule="auto"/>
        <w:tabs>
          <w:tab w:leader="none" w:pos="66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Settlement of the Award. </w:t>
      </w:r>
      <w:r>
        <w:rPr>
          <w:rFonts w:ascii="Arial" w:cs="Arial" w:eastAsia="Arial" w:hAnsi="Arial"/>
          <w:sz w:val="21"/>
          <w:szCs w:val="21"/>
          <w:color w:val="auto"/>
        </w:rPr>
        <w:t>Upon vesting, the RSU Award will be settled by delivery of [one share of Stock][cash</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the Fair Market Value (as defined in the Plan) of one share of Stock] as of the Vesting Date, for each RSU being settled. Such settlement shall occur promptly on or following the vesting of each RSU.</w:t>
      </w:r>
    </w:p>
    <w:p>
      <w:pPr>
        <w:spacing w:after="0" w:line="193" w:lineRule="exact"/>
        <w:rPr>
          <w:rFonts w:ascii="Arial" w:cs="Arial" w:eastAsia="Arial" w:hAnsi="Arial"/>
          <w:sz w:val="21"/>
          <w:szCs w:val="21"/>
          <w:b w:val="1"/>
          <w:bCs w:val="1"/>
          <w:color w:val="auto"/>
        </w:rPr>
      </w:pPr>
    </w:p>
    <w:p>
      <w:pPr>
        <w:ind w:left="660" w:right="20" w:hanging="328"/>
        <w:spacing w:after="0" w:line="274" w:lineRule="auto"/>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Voting Rights and Dividends. </w:t>
      </w:r>
      <w:r>
        <w:rPr>
          <w:rFonts w:ascii="Arial" w:cs="Arial" w:eastAsia="Arial" w:hAnsi="Arial"/>
          <w:sz w:val="22"/>
          <w:szCs w:val="22"/>
          <w:color w:val="auto"/>
        </w:rPr>
        <w:t>RSUs do not provide voting or dividend rights until fully vested and no dividends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or dividend equivalents will be paid or credited on any unvested RSUs.</w:t>
      </w:r>
    </w:p>
    <w:p>
      <w:pPr>
        <w:spacing w:after="0" w:line="192" w:lineRule="exact"/>
        <w:rPr>
          <w:rFonts w:ascii="Arial" w:cs="Arial" w:eastAsia="Arial" w:hAnsi="Arial"/>
          <w:sz w:val="22"/>
          <w:szCs w:val="22"/>
          <w:b w:val="1"/>
          <w:bCs w:val="1"/>
          <w:color w:val="auto"/>
        </w:rPr>
      </w:pPr>
    </w:p>
    <w:p>
      <w:pPr>
        <w:ind w:left="660" w:right="20" w:hanging="328"/>
        <w:spacing w:after="0" w:line="298" w:lineRule="auto"/>
        <w:tabs>
          <w:tab w:leader="none" w:pos="66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RSU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96" w:lineRule="exact"/>
        <w:rPr>
          <w:sz w:val="20"/>
          <w:szCs w:val="20"/>
          <w:color w:val="auto"/>
        </w:rPr>
      </w:pPr>
    </w:p>
    <w:p>
      <w:pPr>
        <w:jc w:val="both"/>
        <w:ind w:left="980" w:hanging="324"/>
        <w:spacing w:after="0" w:line="245" w:lineRule="auto"/>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Termination Not for Cause or Early Retirement</w:t>
      </w:r>
      <w:r>
        <w:rPr>
          <w:rFonts w:ascii="Arial" w:cs="Arial" w:eastAsia="Arial" w:hAnsi="Arial"/>
          <w:sz w:val="22"/>
          <w:szCs w:val="22"/>
          <w:color w:val="auto"/>
        </w:rPr>
        <w:t>. If the Participant is involuntarily terminated not for Cause or voluntarily terminates for Early Retirement, a pro-rata portion of all outstanding unvested RSUs shall remain outstanding and will become vested at the Applicable Vesting Date as though Participant had not had a termination of employment under this subsection 6(a). The pro-rata portion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52" w:right="239" w:bottom="1440" w:gutter="0" w:footer="0" w:header="0"/>
        </w:sectPr>
      </w:pPr>
    </w:p>
    <w:bookmarkStart w:id="33" w:name="page34"/>
    <w:bookmarkEnd w:id="33"/>
    <w:p>
      <w:pPr>
        <w:jc w:val="both"/>
        <w:ind w:left="980"/>
        <w:spacing w:after="0" w:line="244" w:lineRule="auto"/>
        <w:rPr>
          <w:sz w:val="20"/>
          <w:szCs w:val="20"/>
          <w:color w:val="auto"/>
        </w:rPr>
      </w:pPr>
      <w:r>
        <w:rPr>
          <w:rFonts w:ascii="Arial" w:cs="Arial" w:eastAsia="Arial" w:hAnsi="Arial"/>
          <w:sz w:val="22"/>
          <w:szCs w:val="22"/>
          <w:color w:val="auto"/>
        </w:rPr>
        <w:t>shall be determined by multiplying the number of unvested RSUs by a fraction, the numerator of which is (x) the number of days from the Grant Date to the Participant’s termination of employment and (y) the denominator of which is 1,066. A Participant’s RSUs that have not vested before such termination of employment under this subsection 6(a), and which are not included in the pro rata portion subject to continued vesting will be immediately forfeited. “</w:t>
      </w:r>
      <w:r>
        <w:rPr>
          <w:rFonts w:ascii="Arial" w:cs="Arial" w:eastAsia="Arial" w:hAnsi="Arial"/>
          <w:sz w:val="22"/>
          <w:szCs w:val="22"/>
          <w:u w:val="single" w:color="auto"/>
          <w:color w:val="auto"/>
        </w:rPr>
        <w:t>Applicable Vesting Date</w:t>
      </w:r>
      <w:r>
        <w:rPr>
          <w:rFonts w:ascii="Arial" w:cs="Arial" w:eastAsia="Arial" w:hAnsi="Arial"/>
          <w:sz w:val="22"/>
          <w:szCs w:val="22"/>
          <w:color w:val="auto"/>
        </w:rPr>
        <w:t xml:space="preserve"> ” means March 1 of the calendar year following the calendar year in which the Participant terminates due to Disability or Normal Retirement or, if earlier, the Award vesting date.</w:t>
      </w:r>
    </w:p>
    <w:p>
      <w:pPr>
        <w:spacing w:after="0" w:line="253" w:lineRule="exact"/>
        <w:rPr>
          <w:sz w:val="20"/>
          <w:szCs w:val="20"/>
          <w:color w:val="auto"/>
        </w:rPr>
      </w:pPr>
    </w:p>
    <w:p>
      <w:pPr>
        <w:ind w:left="980" w:hanging="324"/>
        <w:spacing w:after="0" w:line="249" w:lineRule="auto"/>
        <w:tabs>
          <w:tab w:leader="none" w:pos="98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Resignation or Termination With Cause</w:t>
      </w:r>
      <w:r>
        <w:rPr>
          <w:rFonts w:ascii="Arial" w:cs="Arial" w:eastAsia="Arial" w:hAnsi="Arial"/>
          <w:sz w:val="22"/>
          <w:szCs w:val="22"/>
          <w:color w:val="auto"/>
        </w:rPr>
        <w:t>. If a Participant resigns, or is terminated by the Company for Cause, then all outstanding unvested RSUs will be immediately forfeited.</w:t>
      </w:r>
    </w:p>
    <w:p>
      <w:pPr>
        <w:spacing w:after="0" w:line="244" w:lineRule="exact"/>
        <w:rPr>
          <w:rFonts w:ascii="Arial" w:cs="Arial" w:eastAsia="Arial" w:hAnsi="Arial"/>
          <w:sz w:val="22"/>
          <w:szCs w:val="22"/>
          <w:color w:val="auto"/>
        </w:rPr>
      </w:pPr>
    </w:p>
    <w:p>
      <w:pPr>
        <w:jc w:val="both"/>
        <w:ind w:left="980" w:hanging="324"/>
        <w:spacing w:after="0" w:line="244" w:lineRule="auto"/>
        <w:tabs>
          <w:tab w:leader="none" w:pos="98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Normal Retirement or Disability</w:t>
      </w:r>
      <w:r>
        <w:rPr>
          <w:rFonts w:ascii="Arial" w:cs="Arial" w:eastAsia="Arial" w:hAnsi="Arial"/>
          <w:sz w:val="22"/>
          <w:szCs w:val="22"/>
          <w:color w:val="auto"/>
        </w:rPr>
        <w:t>. If a Participant terminates employment due to Normal Retirement or Disability, then all outstanding unvested RSUs will remain outstanding and will become vested at the Applicable Vesting Date as though the Participant had not had a termination of employment under this subsection 6(c). Upon vesting, such RSUs will be settled promptly, provided that if vesting occurs at an Applicable Vesting Date earlier than the Award vesting date, settlement will occur within fourteen (14) days after the Award vesting date.</w:t>
      </w:r>
    </w:p>
    <w:p>
      <w:pPr>
        <w:spacing w:after="0" w:line="253" w:lineRule="exact"/>
        <w:rPr>
          <w:rFonts w:ascii="Arial" w:cs="Arial" w:eastAsia="Arial" w:hAnsi="Arial"/>
          <w:sz w:val="22"/>
          <w:szCs w:val="22"/>
          <w:color w:val="auto"/>
        </w:rPr>
      </w:pPr>
    </w:p>
    <w:p>
      <w:pPr>
        <w:ind w:left="980" w:hanging="324"/>
        <w:spacing w:after="0" w:line="249" w:lineRule="auto"/>
        <w:tabs>
          <w:tab w:leader="none" w:pos="98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a Participant terminates employment due to death, then all outstanding unvested RSUs will become immediately vested.</w:t>
      </w:r>
    </w:p>
    <w:p>
      <w:pPr>
        <w:spacing w:after="0" w:line="244" w:lineRule="exact"/>
        <w:rPr>
          <w:rFonts w:ascii="Arial" w:cs="Arial" w:eastAsia="Arial" w:hAnsi="Arial"/>
          <w:sz w:val="22"/>
          <w:szCs w:val="22"/>
          <w:color w:val="auto"/>
        </w:rPr>
      </w:pPr>
    </w:p>
    <w:p>
      <w:pPr>
        <w:jc w:val="both"/>
        <w:ind w:left="980" w:right="20" w:hanging="324"/>
        <w:spacing w:after="0" w:line="246" w:lineRule="auto"/>
        <w:tabs>
          <w:tab w:leader="none" w:pos="98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Leave of Absence</w:t>
      </w:r>
      <w:r>
        <w:rPr>
          <w:rFonts w:ascii="Arial" w:cs="Arial" w:eastAsia="Arial" w:hAnsi="Arial"/>
          <w:sz w:val="22"/>
          <w:szCs w:val="22"/>
          <w:color w:val="auto"/>
        </w:rPr>
        <w:t>. If a Participant is not in active employment for any portion of the vesting period as a result of a paid or unpaid leave of absence, the terms of any unvested RSU may be adjusted, subject to local legal requirements and applicable Company policies that govern leaves of absence.</w:t>
      </w:r>
    </w:p>
    <w:p>
      <w:pPr>
        <w:spacing w:after="0" w:line="195"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9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RSU Awards shall be treated as provided for in Section 9 of the Plan.</w:t>
      </w:r>
    </w:p>
    <w:p>
      <w:pPr>
        <w:spacing w:after="0" w:line="232" w:lineRule="exact"/>
        <w:rPr>
          <w:rFonts w:ascii="Arial" w:cs="Arial" w:eastAsia="Arial" w:hAnsi="Arial"/>
          <w:sz w:val="22"/>
          <w:szCs w:val="22"/>
          <w:color w:val="auto"/>
        </w:rPr>
      </w:pPr>
    </w:p>
    <w:p>
      <w:pPr>
        <w:jc w:val="both"/>
        <w:ind w:left="660" w:hanging="328"/>
        <w:spacing w:after="0" w:line="247"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if a Participant 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by the Company as grade level 7 or above for any portion of the vesting period, any RSU Award made or payable shall be subject to the clawback, recoupment and forfeiture provisions of Section 10 of the Plan and Section 7 of the ESP, if applicable. By acknowledging the RSU Award Agreement, the Participant acknowledges that any and all RSU Awards previously granted to the Participant under Section 6 or Section 7 of the Plan prior to the Grant Date, and any other cash or Stock provided to the Participant prior to or following the Grant Date under the RSU Award or otherwise under the Plan, are subject to the provisions of Section 10 of the Plan and Section 7 of the ESP, if applicable.</w:t>
      </w:r>
    </w:p>
    <w:p>
      <w:pPr>
        <w:spacing w:after="0" w:line="267"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RSU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shall be assignable, alienable, saleable,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78" w:right="239" w:bottom="1440" w:gutter="0" w:footer="0" w:header="0"/>
        </w:sectPr>
      </w:pPr>
    </w:p>
    <w:bookmarkStart w:id="34" w:name="page35"/>
    <w:bookmarkEnd w:id="34"/>
    <w:p>
      <w:pPr>
        <w:ind w:left="660"/>
        <w:spacing w:after="0" w:line="249" w:lineRule="auto"/>
        <w:rPr>
          <w:sz w:val="20"/>
          <w:szCs w:val="20"/>
          <w:color w:val="auto"/>
        </w:rPr>
      </w:pPr>
      <w:r>
        <w:rPr>
          <w:rFonts w:ascii="Arial" w:cs="Arial" w:eastAsia="Arial" w:hAnsi="Arial"/>
          <w:sz w:val="22"/>
          <w:szCs w:val="22"/>
          <w:color w:val="auto"/>
        </w:rPr>
        <w:t>or transferable by a Participant other than by will or by the laws of descent and distribution in accordance with Section 11(b) of the Plan.</w:t>
      </w:r>
    </w:p>
    <w:p>
      <w:pPr>
        <w:spacing w:after="0" w:line="21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hanging="1304"/>
        <w:spacing w:after="0" w:line="251" w:lineRule="auto"/>
        <w:tabs>
          <w:tab w:leader="none" w:pos="988" w:val="left"/>
        </w:tabs>
        <w:numPr>
          <w:ilvl w:val="1"/>
          <w:numId w:val="24"/>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administered by the Committee or a subset of the Committee that satisfies the requirements of Section 162(m) of the Internal Revenue Code of 1986, as amended, and regulations promulgated thereunder (the “Code”) with respect to any incentive compensation subject to Code Section 162(m).</w:t>
      </w:r>
    </w:p>
    <w:p>
      <w:pPr>
        <w:spacing w:after="0" w:line="216" w:lineRule="exact"/>
        <w:rPr>
          <w:rFonts w:ascii="Arial" w:cs="Arial" w:eastAsia="Arial" w:hAnsi="Arial"/>
          <w:sz w:val="22"/>
          <w:szCs w:val="22"/>
          <w:color w:val="auto"/>
        </w:rPr>
      </w:pPr>
    </w:p>
    <w:p>
      <w:pPr>
        <w:ind w:left="1960" w:hanging="1304"/>
        <w:spacing w:after="0" w:line="247" w:lineRule="auto"/>
        <w:tabs>
          <w:tab w:leader="none" w:pos="988" w:val="left"/>
        </w:tabs>
        <w:numPr>
          <w:ilvl w:val="1"/>
          <w:numId w:val="24"/>
        </w:numPr>
        <w:rPr>
          <w:rFonts w:ascii="Arial" w:cs="Arial" w:eastAsia="Arial" w:hAnsi="Arial"/>
          <w:sz w:val="22"/>
          <w:szCs w:val="22"/>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will oversee RSU Award calculations. All interpretations, decisions, or determinations made by the Committee pursuant to an RSU Award shall be final and conclusive.</w:t>
      </w:r>
    </w:p>
    <w:p>
      <w:pPr>
        <w:spacing w:after="0" w:line="226"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RSU Award. </w:t>
      </w:r>
      <w:r>
        <w:rPr>
          <w:rFonts w:ascii="Arial" w:cs="Arial" w:eastAsia="Arial" w:hAnsi="Arial"/>
          <w:sz w:val="22"/>
          <w:szCs w:val="22"/>
          <w:color w:val="auto"/>
        </w:rPr>
        <w:t>The Committee has the right to revise, modify, or terminate an</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in whole or in part at any time or for any reason, and the right to modify any RSU Award amount in accordance with Section 11(e) of the Plan.</w:t>
      </w:r>
    </w:p>
    <w:p>
      <w:pPr>
        <w:spacing w:after="0" w:line="210" w:lineRule="exact"/>
        <w:rPr>
          <w:rFonts w:ascii="Arial" w:cs="Arial" w:eastAsia="Arial" w:hAnsi="Arial"/>
          <w:sz w:val="22"/>
          <w:szCs w:val="22"/>
          <w:color w:val="auto"/>
        </w:rPr>
      </w:pPr>
    </w:p>
    <w:p>
      <w:pPr>
        <w:jc w:val="both"/>
        <w:ind w:left="660" w:hanging="328"/>
        <w:spacing w:after="0" w:line="252"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RSU Award or these RSU Terms and Conditions in accordance with Section 11(d) of the Plan. The Participant acknowledges the Company is authorized to withhold taxes due, or potentially payable in connection with any payment of an RSU Award in accordance with Section 11(d) of the Plan. Further, the Participant agrees to any deduction or setoff by the Company as provided under Section 11(f) of the Plan.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Compliance with Code Section 409A</w:t>
      </w:r>
      <w:r>
        <w:rPr>
          <w:rFonts w:ascii="Arial" w:cs="Arial" w:eastAsia="Arial" w:hAnsi="Arial"/>
          <w:sz w:val="22"/>
          <w:szCs w:val="22"/>
          <w:color w:val="auto"/>
        </w:rPr>
        <w:t>. Section 11(j) of the Plan is hereby incorporated by reference.</w:t>
      </w:r>
    </w:p>
    <w:p>
      <w:pPr>
        <w:spacing w:after="0" w:line="26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RSU Award or these RSU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78" w:right="239" w:bottom="1440" w:gutter="0" w:footer="0" w:header="0"/>
        </w:sectPr>
      </w:pPr>
    </w:p>
    <w:bookmarkStart w:id="35" w:name="page36"/>
    <w:bookmarkEnd w:id="35"/>
    <w:p>
      <w:pPr>
        <w:jc w:val="both"/>
        <w:ind w:left="660" w:hanging="328"/>
        <w:spacing w:after="0" w:line="25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Entire Agreement; Dispute Resolution</w:t>
      </w:r>
      <w:r>
        <w:rPr>
          <w:rFonts w:ascii="Arial" w:cs="Arial" w:eastAsia="Arial" w:hAnsi="Arial"/>
          <w:sz w:val="22"/>
          <w:szCs w:val="22"/>
          <w:color w:val="auto"/>
        </w:rPr>
        <w:t>. These RSU Terms and Conditions and all addendums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216"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11(K) of the Plan.</w:t>
      </w:r>
    </w:p>
    <w:p>
      <w:pPr>
        <w:spacing w:after="0" w:line="192"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29"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RSU Terms and Conditions and the RSU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the United States without regard to principles of conflict of law.</w:t>
      </w:r>
    </w:p>
    <w:p>
      <w:pPr>
        <w:spacing w:after="0" w:line="114" w:lineRule="exact"/>
        <w:rPr>
          <w:rFonts w:ascii="Arial" w:cs="Arial" w:eastAsia="Arial" w:hAnsi="Arial"/>
          <w:sz w:val="22"/>
          <w:szCs w:val="22"/>
          <w:color w:val="auto"/>
        </w:rPr>
      </w:pPr>
    </w:p>
    <w:p>
      <w:pPr>
        <w:jc w:val="both"/>
        <w:ind w:left="660" w:hanging="328"/>
        <w:spacing w:after="0" w:line="245"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RSU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stock or directorships held in the Company, and details of all options or any other entitlement to Shares or other equity of the Company awarded, canceled, purchased, vested, unvested or outstanding in Participant’s favor (“Data”).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equity on Participant’s behalf to a broker or other third party with whom Participant may elect to deposit any shares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7"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RSU Terms and Conditions to the contrary, the RSUs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any special terms and conditions for Participant’s country of residence (and country of employment, if different) set forth</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52" w:right="239" w:bottom="1440" w:gutter="0" w:footer="0" w:header="0"/>
        </w:sectPr>
      </w:pPr>
    </w:p>
    <w:bookmarkStart w:id="36" w:name="page37"/>
    <w:bookmarkEnd w:id="36"/>
    <w:p>
      <w:pPr>
        <w:jc w:val="both"/>
        <w:ind w:left="660"/>
        <w:spacing w:after="0" w:line="258" w:lineRule="auto"/>
        <w:rPr>
          <w:sz w:val="20"/>
          <w:szCs w:val="20"/>
          <w:color w:val="auto"/>
        </w:rPr>
      </w:pPr>
      <w:r>
        <w:rPr>
          <w:rFonts w:ascii="Arial" w:cs="Arial" w:eastAsia="Arial" w:hAnsi="Arial"/>
          <w:sz w:val="21"/>
          <w:szCs w:val="21"/>
          <w:color w:val="auto"/>
        </w:rPr>
        <w:t>in an addendum to these RSU Terms and Conditions (an “</w:t>
      </w:r>
      <w:r>
        <w:rPr>
          <w:rFonts w:ascii="Arial" w:cs="Arial" w:eastAsia="Arial" w:hAnsi="Arial"/>
          <w:sz w:val="21"/>
          <w:szCs w:val="21"/>
          <w:b w:val="1"/>
          <w:bCs w:val="1"/>
          <w:u w:val="single" w:color="auto"/>
          <w:color w:val="auto"/>
        </w:rPr>
        <w:t>Addendum</w:t>
      </w:r>
      <w:r>
        <w:rPr>
          <w:rFonts w:ascii="Arial" w:cs="Arial" w:eastAsia="Arial" w:hAnsi="Arial"/>
          <w:sz w:val="21"/>
          <w:szCs w:val="21"/>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5" w:lineRule="exact"/>
        <w:rPr>
          <w:sz w:val="20"/>
          <w:szCs w:val="20"/>
          <w:color w:val="auto"/>
        </w:rPr>
      </w:pPr>
    </w:p>
    <w:p>
      <w:pPr>
        <w:jc w:val="both"/>
        <w:ind w:left="660" w:hanging="328"/>
        <w:spacing w:after="0" w:line="261" w:lineRule="auto"/>
        <w:tabs>
          <w:tab w:leader="none" w:pos="660"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Private Placement. </w:t>
      </w:r>
      <w:r>
        <w:rPr>
          <w:rFonts w:ascii="Arial" w:cs="Arial" w:eastAsia="Arial" w:hAnsi="Arial"/>
          <w:sz w:val="21"/>
          <w:szCs w:val="21"/>
          <w:color w:val="auto"/>
        </w:rPr>
        <w:t>The grant of RSUs is not intended to be a public offering of securities in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of residence (and country of employment, if different). The Company has not submitted any registration statement, prospectus or other filings with the local securities authorities (unless otherwise required under local law), and the grant of the RSUs is not subject to the supervision of the local securities authorities.</w:t>
      </w:r>
    </w:p>
    <w:p>
      <w:pPr>
        <w:spacing w:after="0" w:line="206" w:lineRule="exact"/>
        <w:rPr>
          <w:rFonts w:ascii="Arial" w:cs="Arial" w:eastAsia="Arial" w:hAnsi="Arial"/>
          <w:sz w:val="21"/>
          <w:szCs w:val="21"/>
          <w:b w:val="1"/>
          <w:bCs w:val="1"/>
          <w:color w:val="auto"/>
        </w:rPr>
      </w:pPr>
    </w:p>
    <w:p>
      <w:pPr>
        <w:jc w:val="both"/>
        <w:ind w:left="660" w:hanging="328"/>
        <w:spacing w:after="0" w:line="251"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this RSU Award Agreement or the RSU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International Flavors &amp; Fragrances Inc.</w:t>
      </w:r>
    </w:p>
    <w:p>
      <w:pPr>
        <w:ind w:left="1300"/>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5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6A6A6"/>
        </w:rPr>
        <w:t>EXHIBIT 10.2</w:t>
      </w:r>
    </w:p>
    <w:p>
      <w:pPr>
        <w:spacing w:after="0" w:line="4" w:lineRule="exact"/>
        <w:rPr>
          <w:sz w:val="20"/>
          <w:szCs w:val="20"/>
          <w:color w:val="auto"/>
        </w:rPr>
      </w:pPr>
    </w:p>
    <w:p>
      <w:pPr>
        <w:jc w:val="center"/>
        <w:spacing w:after="0" w:line="248" w:lineRule="auto"/>
        <w:rPr>
          <w:sz w:val="20"/>
          <w:szCs w:val="20"/>
          <w:color w:val="auto"/>
        </w:rPr>
      </w:pPr>
      <w:r>
        <w:rPr>
          <w:rFonts w:ascii="Arial" w:cs="Arial" w:eastAsia="Arial" w:hAnsi="Arial"/>
          <w:sz w:val="22"/>
          <w:szCs w:val="22"/>
          <w:b w:val="1"/>
          <w:bCs w:val="1"/>
          <w:color w:val="auto"/>
        </w:rPr>
        <w:t>INTERNATIONAL FLAVORS &amp; FRAGRANCES INC. EQUITY CHOICE PROGRAM AWARD AGREEMENT (the “</w:t>
      </w:r>
      <w:r>
        <w:rPr>
          <w:rFonts w:ascii="Arial" w:cs="Arial" w:eastAsia="Arial" w:hAnsi="Arial"/>
          <w:sz w:val="22"/>
          <w:szCs w:val="22"/>
          <w:b w:val="1"/>
          <w:bCs w:val="1"/>
          <w:u w:val="single" w:color="auto"/>
          <w:color w:val="auto"/>
        </w:rPr>
        <w:t>ECP AWARD AGREEMENT</w:t>
      </w:r>
      <w:r>
        <w:rPr>
          <w:rFonts w:ascii="Arial" w:cs="Arial" w:eastAsia="Arial" w:hAnsi="Arial"/>
          <w:sz w:val="22"/>
          <w:szCs w:val="22"/>
          <w:b w:val="1"/>
          <w:bCs w:val="1"/>
          <w:color w:val="auto"/>
        </w:rPr>
        <w:t>”) PLAN YEAR [201X]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14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[NAME]</w:t>
      </w:r>
      <w:r>
        <w:rPr>
          <w:sz w:val="20"/>
          <w:szCs w:val="20"/>
          <w:color w:val="auto"/>
        </w:rPr>
        <w:tab/>
      </w:r>
      <w:r>
        <w:rPr>
          <w:rFonts w:ascii="Arial" w:cs="Arial" w:eastAsia="Arial" w:hAnsi="Arial"/>
          <w:sz w:val="19"/>
          <w:szCs w:val="19"/>
          <w:b w:val="1"/>
          <w:bCs w:val="1"/>
          <w:color w:val="auto"/>
        </w:rPr>
        <w:t>Job Level</w:t>
      </w:r>
      <w:r>
        <w:rPr>
          <w:rFonts w:ascii="Arial" w:cs="Arial" w:eastAsia="Arial" w:hAnsi="Arial"/>
          <w:sz w:val="19"/>
          <w:szCs w:val="19"/>
          <w:color w:val="auto"/>
        </w:rPr>
        <w:t>: [#]</w:t>
      </w:r>
    </w:p>
    <w:p>
      <w:pPr>
        <w:spacing w:after="0" w:line="162" w:lineRule="exact"/>
        <w:rPr>
          <w:sz w:val="20"/>
          <w:szCs w:val="20"/>
          <w:color w:val="auto"/>
        </w:rPr>
      </w:pPr>
    </w:p>
    <w:p>
      <w:pPr>
        <w:spacing w:after="0"/>
        <w:tabs>
          <w:tab w:leader="none" w:pos="504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[ORG. UNIT/LOCATION]</w:t>
      </w:r>
      <w:r>
        <w:rPr>
          <w:sz w:val="20"/>
          <w:szCs w:val="20"/>
          <w:color w:val="auto"/>
        </w:rPr>
        <w:tab/>
      </w:r>
      <w:r>
        <w:rPr>
          <w:rFonts w:ascii="Arial" w:cs="Arial" w:eastAsia="Arial" w:hAnsi="Arial"/>
          <w:sz w:val="19"/>
          <w:szCs w:val="19"/>
          <w:b w:val="1"/>
          <w:bCs w:val="1"/>
          <w:color w:val="auto"/>
        </w:rPr>
        <w:t>Position</w:t>
      </w:r>
      <w:r>
        <w:rPr>
          <w:rFonts w:ascii="Arial" w:cs="Arial" w:eastAsia="Arial" w:hAnsi="Arial"/>
          <w:sz w:val="19"/>
          <w:szCs w:val="19"/>
          <w:color w:val="auto"/>
        </w:rPr>
        <w:t>: [POSITION]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ECP Award Agreement, dated as of [X, 2014]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[NAME OF PARTICIPANT]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2010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6 of the Plan, Participant has been granted an Equity Choice Program Award, as described below (the “</w:t>
      </w:r>
      <w:r>
        <w:rPr>
          <w:rFonts w:ascii="Arial" w:cs="Arial" w:eastAsia="Arial" w:hAnsi="Arial"/>
          <w:sz w:val="20"/>
          <w:szCs w:val="20"/>
          <w:b w:val="1"/>
          <w:bCs w:val="1"/>
          <w:u w:val="single" w:color="auto"/>
          <w:color w:val="auto"/>
        </w:rPr>
        <w:t>ECP Award</w:t>
      </w:r>
      <w:r>
        <w:rPr>
          <w:rFonts w:ascii="Arial" w:cs="Arial" w:eastAsia="Arial" w:hAnsi="Arial"/>
          <w:sz w:val="20"/>
          <w:szCs w:val="20"/>
          <w:color w:val="auto"/>
        </w:rPr>
        <w:t>”) subject to the Participant’s acceptance of the attached ECP Terms and Conditions and the Plan, both of which are made a part hereof and are incorporated herein by reference.</w:t>
      </w:r>
    </w:p>
    <w:p>
      <w:pPr>
        <w:spacing w:after="0" w:line="187" w:lineRule="exact"/>
        <w:rPr>
          <w:sz w:val="20"/>
          <w:szCs w:val="20"/>
          <w:color w:val="auto"/>
        </w:rPr>
      </w:pPr>
    </w:p>
    <w:tbl>
      <w:tblPr>
        <w:tblLayout w:type="fixed"/>
        <w:tblInd w:w="530" w:type="dxa"/>
        <w:tblCellMar>
          <w:top w:w="0" w:type="dxa"/>
          <w:left w:w="0" w:type="dxa"/>
          <w:bottom w:w="0" w:type="dxa"/>
          <w:right w:w="0" w:type="dxa"/>
        </w:tblCellMar>
      </w:tblPr>
      <w:tr>
        <w:trPr>
          <w:trHeight w:val="220"/>
        </w:trPr>
        <w:tc>
          <w:tcPr>
            <w:tcW w:w="3600" w:type="dxa"/>
            <w:vAlign w:val="bottom"/>
            <w:tcBorders>
              <w:top w:val="single" w:sz="8" w:color="auto"/>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8"/>
              </w:rPr>
              <w:t>Total Award Amount</w:t>
            </w:r>
          </w:p>
        </w:tc>
        <w:tc>
          <w:tcPr>
            <w:tcW w:w="3460" w:type="dxa"/>
            <w:vAlign w:val="bottom"/>
            <w:tcBorders>
              <w:top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8"/>
              </w:rPr>
              <w:t>Vesting</w:t>
            </w:r>
          </w:p>
        </w:tc>
        <w:tc>
          <w:tcPr>
            <w:tcW w:w="3460" w:type="dxa"/>
            <w:vAlign w:val="bottom"/>
            <w:tcBorders>
              <w:top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Fair Market Value* of IFF Common</w:t>
            </w:r>
          </w:p>
        </w:tc>
      </w:tr>
      <w:tr>
        <w:trPr>
          <w:trHeight w:val="246"/>
        </w:trPr>
        <w:tc>
          <w:tcPr>
            <w:tcW w:w="3600" w:type="dxa"/>
            <w:vAlign w:val="bottom"/>
            <w:tcBorders>
              <w:left w:val="single" w:sz="8" w:color="auto"/>
              <w:bottom w:val="single" w:sz="8" w:color="auto"/>
              <w:right w:val="single" w:sz="8" w:color="auto"/>
            </w:tcBorders>
            <w:shd w:val="clear" w:color="auto" w:fill="A6A6A6"/>
          </w:tcPr>
          <w:p>
            <w:pPr>
              <w:spacing w:after="0"/>
              <w:rPr>
                <w:sz w:val="21"/>
                <w:szCs w:val="21"/>
                <w:color w:val="auto"/>
              </w:rPr>
            </w:pPr>
          </w:p>
        </w:tc>
        <w:tc>
          <w:tcPr>
            <w:tcW w:w="3460" w:type="dxa"/>
            <w:vAlign w:val="bottom"/>
            <w:tcBorders>
              <w:bottom w:val="single" w:sz="8" w:color="auto"/>
              <w:right w:val="single" w:sz="8" w:color="auto"/>
            </w:tcBorders>
            <w:shd w:val="clear" w:color="auto" w:fill="A6A6A6"/>
          </w:tcPr>
          <w:p>
            <w:pPr>
              <w:spacing w:after="0"/>
              <w:rPr>
                <w:sz w:val="21"/>
                <w:szCs w:val="21"/>
                <w:color w:val="auto"/>
              </w:rPr>
            </w:pPr>
          </w:p>
        </w:tc>
        <w:tc>
          <w:tcPr>
            <w:tcW w:w="3460" w:type="dxa"/>
            <w:vAlign w:val="bottom"/>
            <w:tcBorders>
              <w:bottom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Stock on Grant Date</w:t>
            </w:r>
          </w:p>
        </w:tc>
      </w:tr>
      <w:tr>
        <w:trPr>
          <w:trHeight w:val="250"/>
        </w:trPr>
        <w:tc>
          <w:tcPr>
            <w:tcW w:w="3600" w:type="dxa"/>
            <w:vAlign w:val="bottom"/>
            <w:tcBorders>
              <w:left w:val="single" w:sz="8" w:color="auto"/>
              <w:bottom w:val="single" w:sz="8" w:color="auto"/>
              <w:right w:val="single" w:sz="8" w:color="auto"/>
            </w:tcBorders>
          </w:tcPr>
          <w:p>
            <w:pPr>
              <w:jc w:val="right"/>
              <w:ind w:right="1610"/>
              <w:spacing w:after="0"/>
              <w:rPr>
                <w:sz w:val="20"/>
                <w:szCs w:val="20"/>
                <w:color w:val="auto"/>
              </w:rPr>
            </w:pPr>
            <w:r>
              <w:rPr>
                <w:rFonts w:ascii="Arial" w:cs="Arial" w:eastAsia="Arial" w:hAnsi="Arial"/>
                <w:sz w:val="18"/>
                <w:szCs w:val="18"/>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[DATE]</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ECP Award Information</w:t>
      </w:r>
    </w:p>
    <w:p>
      <w:pPr>
        <w:spacing w:after="0" w:line="219" w:lineRule="exact"/>
        <w:rPr>
          <w:sz w:val="20"/>
          <w:szCs w:val="20"/>
          <w:color w:val="auto"/>
        </w:rPr>
      </w:pPr>
    </w:p>
    <w:tbl>
      <w:tblPr>
        <w:tblLayout w:type="fixed"/>
        <w:tblInd w:w="530" w:type="dxa"/>
        <w:tblCellMar>
          <w:top w:w="0" w:type="dxa"/>
          <w:left w:w="0" w:type="dxa"/>
          <w:bottom w:w="0" w:type="dxa"/>
          <w:right w:w="0" w:type="dxa"/>
        </w:tblCellMar>
      </w:tblPr>
      <w:tr>
        <w:trPr>
          <w:trHeight w:val="220"/>
        </w:trPr>
        <w:tc>
          <w:tcPr>
            <w:tcW w:w="1500" w:type="dxa"/>
            <w:vAlign w:val="bottom"/>
            <w:tcBorders>
              <w:top w:val="single" w:sz="8" w:color="auto"/>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8"/>
              </w:rPr>
              <w:t>Award Value</w:t>
            </w:r>
          </w:p>
        </w:tc>
        <w:tc>
          <w:tcPr>
            <w:tcW w:w="1260" w:type="dxa"/>
            <w:vAlign w:val="bottom"/>
            <w:tcBorders>
              <w:top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7"/>
              </w:rPr>
              <w:t>Award Type</w:t>
            </w:r>
          </w:p>
        </w:tc>
        <w:tc>
          <w:tcPr>
            <w:tcW w:w="1980" w:type="dxa"/>
            <w:vAlign w:val="bottom"/>
            <w:tcBorders>
              <w:top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Percentage of Award</w:t>
            </w:r>
          </w:p>
        </w:tc>
        <w:tc>
          <w:tcPr>
            <w:tcW w:w="5780" w:type="dxa"/>
            <w:vAlign w:val="bottom"/>
            <w:tcBorders>
              <w:top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w w:val="99"/>
              </w:rPr>
              <w:t>Equity Award Amount</w:t>
            </w:r>
          </w:p>
        </w:tc>
      </w:tr>
      <w:tr>
        <w:trPr>
          <w:trHeight w:val="246"/>
        </w:trPr>
        <w:tc>
          <w:tcPr>
            <w:tcW w:w="1500" w:type="dxa"/>
            <w:vAlign w:val="bottom"/>
            <w:tcBorders>
              <w:left w:val="single" w:sz="8" w:color="auto"/>
              <w:bottom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bottom w:val="single" w:sz="8" w:color="auto"/>
              <w:right w:val="single" w:sz="8" w:color="auto"/>
            </w:tcBorders>
            <w:shd w:val="clear" w:color="auto" w:fill="A6A6A6"/>
          </w:tcPr>
          <w:p>
            <w:pPr>
              <w:spacing w:after="0"/>
              <w:rPr>
                <w:sz w:val="21"/>
                <w:szCs w:val="21"/>
                <w:color w:val="auto"/>
              </w:rPr>
            </w:pPr>
          </w:p>
        </w:tc>
        <w:tc>
          <w:tcPr>
            <w:tcW w:w="1980" w:type="dxa"/>
            <w:vAlign w:val="bottom"/>
            <w:tcBorders>
              <w:bottom w:val="single" w:sz="8" w:color="auto"/>
              <w:right w:val="single" w:sz="8" w:color="auto"/>
            </w:tcBorders>
            <w:shd w:val="clear" w:color="auto" w:fill="A6A6A6"/>
          </w:tcPr>
          <w:p>
            <w:pPr>
              <w:spacing w:after="0"/>
              <w:rPr>
                <w:sz w:val="21"/>
                <w:szCs w:val="21"/>
                <w:color w:val="auto"/>
              </w:rPr>
            </w:pPr>
          </w:p>
        </w:tc>
        <w:tc>
          <w:tcPr>
            <w:tcW w:w="5780" w:type="dxa"/>
            <w:vAlign w:val="bottom"/>
            <w:tcBorders>
              <w:bottom w:val="single" w:sz="8" w:color="auto"/>
              <w:right w:val="single" w:sz="8" w:color="auto"/>
            </w:tcBorders>
            <w:shd w:val="clear" w:color="auto" w:fill="A6A6A6"/>
          </w:tcPr>
          <w:p>
            <w:pPr>
              <w:spacing w:after="0"/>
              <w:rPr>
                <w:sz w:val="21"/>
                <w:szCs w:val="21"/>
                <w:color w:val="auto"/>
              </w:rPr>
            </w:pPr>
          </w:p>
        </w:tc>
      </w:tr>
      <w:tr>
        <w:trPr>
          <w:trHeight w:val="207"/>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 _%]</w:t>
            </w:r>
          </w:p>
        </w:tc>
        <w:tc>
          <w:tcPr>
            <w:tcW w:w="5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 Matched Shares/RSUs]</w:t>
            </w:r>
          </w:p>
        </w:tc>
      </w:tr>
      <w:tr>
        <w:trPr>
          <w:trHeight w:val="246"/>
        </w:trPr>
        <w:tc>
          <w:tcPr>
            <w:tcW w:w="150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PRS is assigned an adjustment factor of 120%</w:t>
            </w:r>
          </w:p>
        </w:tc>
      </w:tr>
      <w:tr>
        <w:trPr>
          <w:trHeight w:val="207"/>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SSAR*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 _%]</w:t>
            </w:r>
          </w:p>
        </w:tc>
        <w:tc>
          <w:tcPr>
            <w:tcW w:w="5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__ SSARs]</w:t>
            </w:r>
          </w:p>
        </w:tc>
      </w:tr>
      <w:tr>
        <w:trPr>
          <w:trHeight w:val="203"/>
        </w:trPr>
        <w:tc>
          <w:tcPr>
            <w:tcW w:w="150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 SSARs granted is based on 4.5 times the elected SSAR</w:t>
            </w:r>
          </w:p>
        </w:tc>
      </w:tr>
      <w:tr>
        <w:trPr>
          <w:trHeight w:val="203"/>
        </w:trPr>
        <w:tc>
          <w:tcPr>
            <w:tcW w:w="150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award value divided by the Fair Market Value* of IFF Common</w:t>
            </w:r>
          </w:p>
        </w:tc>
      </w:tr>
      <w:tr>
        <w:trPr>
          <w:trHeight w:val="246"/>
        </w:trPr>
        <w:tc>
          <w:tcPr>
            <w:tcW w:w="150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Stock on the Grant Date.</w:t>
            </w:r>
          </w:p>
        </w:tc>
      </w:tr>
      <w:tr>
        <w:trPr>
          <w:trHeight w:val="250"/>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RSU*</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 _%]</w:t>
            </w:r>
          </w:p>
        </w:tc>
        <w:tc>
          <w:tcPr>
            <w:tcW w:w="5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__ RSUs]</w:t>
            </w:r>
          </w:p>
        </w:tc>
      </w:tr>
    </w:tbl>
    <w:p>
      <w:pPr>
        <w:spacing w:after="0" w:line="77"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*Each, as defined in, and subject to, the attached ECP Terms and Conditions and the terms of the Plan. Each Award type elected represents a separate grant under the Plan.</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BY ELECTRONICALLY ACCEPTING THIS ECP AWARD, PARTICIPANT AGREES TO BE BOUND BY THE PROVISIONS OF THE PLAN, THIS ECP AWARD AGREEMENT AND THE ECP TERMS AND CONDITIONS. THE PARTICIPANT HAS REVIEWED THE PLAN, THE ECP AWARD AGREEMENT AND THE ECP TERMS AND CONDITIONS IN THEIR ENTIRETY, HAS HAD AN OPPORTUNITY TO OBTAIN THE ADVICE OF COUNSEL PRIOR TO ACCEPTING THE ECP AWARD AND FULLY UNDERSTANDS ALL OF THE PROVISIONS OF THE PLAN, THIS ECP AWARD AGREEMENT AND THE ECP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ECP AWARD AGREEMENT OR THE ECP TERMS AND CONDITIONS.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619" w:right="239" w:bottom="1440" w:gutter="0" w:footer="0" w:header="0"/>
        </w:sectPr>
      </w:pPr>
    </w:p>
    <w:bookmarkStart w:id="38" w:name="page39"/>
    <w:bookmarkEnd w:id="38"/>
    <w:p>
      <w:pPr>
        <w:ind w:left="-8" w:right="9079" w:firstLine="8"/>
        <w:spacing w:after="0" w:line="702" w:lineRule="auto"/>
        <w:tabs>
          <w:tab w:leader="none" w:pos="102" w:val="left"/>
        </w:tabs>
        <w:numPr>
          <w:ilvl w:val="0"/>
          <w:numId w:val="27"/>
        </w:numPr>
        <w:rPr>
          <w:rFonts w:ascii="Arial" w:cs="Arial" w:eastAsia="Arial" w:hAnsi="Arial"/>
          <w:sz w:val="19"/>
          <w:szCs w:val="19"/>
          <w:color w:val="auto"/>
        </w:rPr>
      </w:pPr>
      <w:r>
        <w:rPr>
          <w:rFonts w:ascii="Arial" w:cs="Arial" w:eastAsia="Arial" w:hAnsi="Arial"/>
          <w:sz w:val="19"/>
          <w:szCs w:val="19"/>
          <w:color w:val="auto"/>
        </w:rPr>
        <w:t>] I ACCEPT March 2014</w:t>
      </w:r>
    </w:p>
    <w:p>
      <w:pPr>
        <w:sectPr>
          <w:pgSz w:w="11900" w:h="16838" w:orient="portrait"/>
          <w:cols w:equalWidth="0" w:num="1">
            <w:col w:w="10211"/>
          </w:cols>
          <w:pgMar w:left="248" w:top="595" w:right="1440" w:bottom="1440" w:gutter="0" w:footer="0" w:header="0"/>
        </w:sectPr>
      </w:pPr>
    </w:p>
    <w:bookmarkStart w:id="39" w:name="page40"/>
    <w:bookmarkEnd w:id="39"/>
    <w:p>
      <w:pPr>
        <w:jc w:val="center"/>
        <w:spacing w:after="0" w:line="258" w:lineRule="auto"/>
        <w:rPr>
          <w:sz w:val="20"/>
          <w:szCs w:val="20"/>
          <w:color w:val="auto"/>
        </w:rPr>
      </w:pPr>
      <w:r>
        <w:rPr>
          <w:rFonts w:ascii="Arial" w:cs="Arial" w:eastAsia="Arial" w:hAnsi="Arial"/>
          <w:sz w:val="22"/>
          <w:szCs w:val="22"/>
          <w:b w:val="1"/>
          <w:bCs w:val="1"/>
          <w:color w:val="auto"/>
        </w:rPr>
        <w:t>INTERNATIONAL FLAVORS &amp; FRAGRANCES INC. EQUITY CHOICE PROGRAM AWARD AGEEMENT TERMS AND CONDITIONS (the “</w:t>
      </w:r>
      <w:r>
        <w:rPr>
          <w:rFonts w:ascii="Arial" w:cs="Arial" w:eastAsia="Arial" w:hAnsi="Arial"/>
          <w:sz w:val="22"/>
          <w:szCs w:val="22"/>
          <w:b w:val="1"/>
          <w:bCs w:val="1"/>
          <w:u w:val="single" w:color="auto"/>
          <w:color w:val="auto"/>
        </w:rPr>
        <w:t>ECP TERMS AND CONDITIONS</w:t>
      </w:r>
      <w:r>
        <w:rPr>
          <w:rFonts w:ascii="Arial" w:cs="Arial" w:eastAsia="Arial" w:hAnsi="Arial"/>
          <w:sz w:val="22"/>
          <w:szCs w:val="22"/>
          <w:b w:val="1"/>
          <w:bCs w:val="1"/>
          <w:color w:val="auto"/>
        </w:rPr>
        <w:t>”)</w:t>
      </w: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22"/>
          <w:szCs w:val="22"/>
          <w:color w:val="auto"/>
        </w:rPr>
        <w:t>These ECP Terms and Conditions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ECP Award Agreement made under the Plan, which is hereby incorporated by reference.</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ECP Terms and Conditions and the Plan, the provisions of the Plan shall govern.</w:t>
      </w:r>
    </w:p>
    <w:p>
      <w:pPr>
        <w:spacing w:after="0" w:line="196" w:lineRule="exact"/>
        <w:rPr>
          <w:sz w:val="20"/>
          <w:szCs w:val="20"/>
          <w:color w:val="auto"/>
        </w:rPr>
      </w:pPr>
    </w:p>
    <w:p>
      <w:pPr>
        <w:ind w:left="660" w:hanging="328"/>
        <w:spacing w:after="0" w:line="274"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Amount of ECP Award</w:t>
      </w:r>
      <w:r>
        <w:rPr>
          <w:rFonts w:ascii="Arial" w:cs="Arial" w:eastAsia="Arial" w:hAnsi="Arial"/>
          <w:sz w:val="22"/>
          <w:szCs w:val="22"/>
          <w:color w:val="auto"/>
        </w:rPr>
        <w:t>. As of the Grant Date, the Participant shall be eligible to receive an ECP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forms and amounts set forth on the first page of the ECP Award Agreement.</w:t>
      </w:r>
    </w:p>
    <w:p>
      <w:pPr>
        <w:spacing w:after="0" w:line="192"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ECP Award shall be at the discretion of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Eligibility for an ECP Award in one period does not guarantee eligibility for an ECP Award in a later period.</w:t>
      </w:r>
    </w:p>
    <w:p>
      <w:pPr>
        <w:spacing w:after="0" w:line="124"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Vesting of Award. </w:t>
      </w:r>
      <w:r>
        <w:rPr>
          <w:rFonts w:ascii="Arial" w:cs="Arial" w:eastAsia="Arial" w:hAnsi="Arial"/>
          <w:sz w:val="22"/>
          <w:szCs w:val="22"/>
          <w:color w:val="auto"/>
        </w:rPr>
        <w:t>The ECP Award vests on the date set forth on the first page of the ESP Award Agreement if</w:t>
      </w:r>
      <w:r>
        <w:rPr>
          <w:rFonts w:ascii="Arial" w:cs="Arial" w:eastAsia="Arial" w:hAnsi="Arial"/>
          <w:sz w:val="22"/>
          <w:szCs w:val="22"/>
          <w:b w:val="1"/>
          <w:bCs w:val="1"/>
          <w:color w:val="auto"/>
        </w:rPr>
        <w:t xml:space="preserve"> </w:t>
      </w:r>
      <w:r>
        <w:rPr>
          <w:rFonts w:ascii="Arial" w:cs="Arial" w:eastAsia="Arial" w:hAnsi="Arial"/>
          <w:sz w:val="22"/>
          <w:szCs w:val="22"/>
          <w:color w:val="auto"/>
        </w:rPr>
        <w:t>not previously forfeited, and is 0% vested before expiration of this period.</w:t>
      </w:r>
    </w:p>
    <w:p>
      <w:pPr>
        <w:spacing w:after="0" w:line="192"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ECP Award Allocations</w:t>
      </w:r>
      <w:r>
        <w:rPr>
          <w:rFonts w:ascii="Arial" w:cs="Arial" w:eastAsia="Arial" w:hAnsi="Arial"/>
          <w:sz w:val="22"/>
          <w:szCs w:val="22"/>
          <w:color w:val="auto"/>
        </w:rPr>
        <w:t>. Participants may elect to allocate their total ECP Award between three types of ECP</w:t>
      </w:r>
      <w:r>
        <w:rPr>
          <w:rFonts w:ascii="Arial" w:cs="Arial" w:eastAsia="Arial" w:hAnsi="Arial"/>
          <w:sz w:val="22"/>
          <w:szCs w:val="22"/>
          <w:b w:val="1"/>
          <w:bCs w:val="1"/>
          <w:color w:val="auto"/>
        </w:rPr>
        <w:t xml:space="preserve"> </w:t>
      </w:r>
      <w:r>
        <w:rPr>
          <w:rFonts w:ascii="Arial" w:cs="Arial" w:eastAsia="Arial" w:hAnsi="Arial"/>
          <w:sz w:val="22"/>
          <w:szCs w:val="22"/>
          <w:color w:val="auto"/>
        </w:rPr>
        <w:t>Award grants in 5% increments: (i) Purchase Restricted Stock (“</w:t>
      </w:r>
      <w:r>
        <w:rPr>
          <w:rFonts w:ascii="Arial" w:cs="Arial" w:eastAsia="Arial" w:hAnsi="Arial"/>
          <w:sz w:val="22"/>
          <w:szCs w:val="22"/>
          <w:b w:val="1"/>
          <w:bCs w:val="1"/>
          <w:u w:val="single" w:color="auto"/>
          <w:color w:val="auto"/>
        </w:rPr>
        <w:t>PRS</w:t>
      </w:r>
      <w:r>
        <w:rPr>
          <w:rFonts w:ascii="Arial" w:cs="Arial" w:eastAsia="Arial" w:hAnsi="Arial"/>
          <w:sz w:val="22"/>
          <w:szCs w:val="22"/>
          <w:color w:val="auto"/>
        </w:rPr>
        <w:t>”), (ii) Stock-Settled Appreciation Rights (“</w:t>
      </w:r>
      <w:r>
        <w:rPr>
          <w:rFonts w:ascii="Arial" w:cs="Arial" w:eastAsia="Arial" w:hAnsi="Arial"/>
          <w:sz w:val="22"/>
          <w:szCs w:val="22"/>
          <w:b w:val="1"/>
          <w:bCs w:val="1"/>
          <w:u w:val="single" w:color="auto"/>
          <w:color w:val="auto"/>
        </w:rPr>
        <w:t>SSARs</w:t>
      </w:r>
      <w:r>
        <w:rPr>
          <w:rFonts w:ascii="Arial" w:cs="Arial" w:eastAsia="Arial" w:hAnsi="Arial"/>
          <w:sz w:val="22"/>
          <w:szCs w:val="22"/>
          <w:color w:val="auto"/>
        </w:rPr>
        <w:t>”), and (iii) Restricted Stock Units (“</w:t>
      </w:r>
      <w:r>
        <w:rPr>
          <w:rFonts w:ascii="Arial" w:cs="Arial" w:eastAsia="Arial" w:hAnsi="Arial"/>
          <w:sz w:val="22"/>
          <w:szCs w:val="22"/>
          <w:b w:val="1"/>
          <w:bCs w:val="1"/>
          <w:u w:val="single" w:color="auto"/>
          <w:color w:val="auto"/>
        </w:rPr>
        <w:t>RSUs</w:t>
      </w:r>
      <w:r>
        <w:rPr>
          <w:rFonts w:ascii="Arial" w:cs="Arial" w:eastAsia="Arial" w:hAnsi="Arial"/>
          <w:sz w:val="22"/>
          <w:szCs w:val="22"/>
          <w:color w:val="auto"/>
        </w:rPr>
        <w:t>”). If a Participant does not elect an ECP Award type within the time period specified by the Committee, 100% of the ECP Award will be allocated to SSARs by default or such other default selection specified by the Committee.</w:t>
      </w:r>
    </w:p>
    <w:p>
      <w:pPr>
        <w:spacing w:after="0" w:line="189" w:lineRule="exact"/>
        <w:rPr>
          <w:rFonts w:ascii="Arial" w:cs="Arial" w:eastAsia="Arial" w:hAnsi="Arial"/>
          <w:sz w:val="22"/>
          <w:szCs w:val="22"/>
          <w:color w:val="auto"/>
        </w:rPr>
      </w:pPr>
    </w:p>
    <w:p>
      <w:pPr>
        <w:jc w:val="both"/>
        <w:ind w:left="660" w:hanging="328"/>
        <w:spacing w:after="0" w:line="221" w:lineRule="auto"/>
        <w:tabs>
          <w:tab w:leader="none" w:pos="660"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Purchase Restricted Stock (“PRS”)</w:t>
      </w:r>
      <w:r>
        <w:rPr>
          <w:rFonts w:ascii="Arial" w:cs="Arial" w:eastAsia="Arial" w:hAnsi="Arial"/>
          <w:sz w:val="21"/>
          <w:szCs w:val="21"/>
          <w:color w:val="auto"/>
        </w:rPr>
        <w:t>. PRS are restricted Shares (or RSUs for non-U.S. Participants)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 6 of the Plan. As used herein, the term “</w:t>
      </w:r>
      <w:r>
        <w:rPr>
          <w:rFonts w:ascii="Arial" w:cs="Arial" w:eastAsia="Arial" w:hAnsi="Arial"/>
          <w:sz w:val="21"/>
          <w:szCs w:val="21"/>
          <w:b w:val="1"/>
          <w:bCs w:val="1"/>
          <w:u w:val="single" w:color="auto"/>
          <w:color w:val="auto"/>
        </w:rPr>
        <w:t>PRS</w:t>
      </w:r>
      <w:r>
        <w:rPr>
          <w:rFonts w:ascii="Arial" w:cs="Arial" w:eastAsia="Arial" w:hAnsi="Arial"/>
          <w:sz w:val="21"/>
          <w:szCs w:val="21"/>
          <w:color w:val="auto"/>
        </w:rPr>
        <w:t>” shall mean Shares or RSUs representing PRS, as applicable. There is a 20% adjustment upward of the ECP Award value for any allocation of the ESP Award elected in PRS (By way of example, if a Participant elects to receive $100 of his or her ECP in PRS, the Participant will be required to fund, and will receive matching PRS from the Company, valued at $120). If a Participant chooses PRS, then he or she must deliver funds (or Shares with an equivalent value) equal to the dollar amount of the ECP Award that he or she is electing to receive in PRS (including the 20% adjustment described above). Upon receipt of the funds or Shares by the Company, the Participant shall receive (a) PRS in the form of Shares calculated based on the Fair Market Value of a Share on the Grant Date (“</w:t>
      </w:r>
      <w:r>
        <w:rPr>
          <w:rFonts w:ascii="Arial" w:cs="Arial" w:eastAsia="Arial" w:hAnsi="Arial"/>
          <w:sz w:val="21"/>
          <w:szCs w:val="21"/>
          <w:b w:val="1"/>
          <w:bCs w:val="1"/>
          <w:u w:val="single" w:color="auto"/>
          <w:color w:val="auto"/>
        </w:rPr>
        <w:t>Purchased PRS</w:t>
      </w:r>
      <w:r>
        <w:rPr>
          <w:rFonts w:ascii="Arial" w:cs="Arial" w:eastAsia="Arial" w:hAnsi="Arial"/>
          <w:sz w:val="21"/>
          <w:szCs w:val="21"/>
          <w:color w:val="auto"/>
        </w:rPr>
        <w:t>”) and (b) a match of PRS in the form of Shares or RSUs, as determined by the Company based on the location of the Participant (the “</w:t>
      </w:r>
      <w:r>
        <w:rPr>
          <w:rFonts w:ascii="Arial" w:cs="Arial" w:eastAsia="Arial" w:hAnsi="Arial"/>
          <w:sz w:val="21"/>
          <w:szCs w:val="21"/>
          <w:b w:val="1"/>
          <w:bCs w:val="1"/>
          <w:u w:val="single" w:color="auto"/>
          <w:color w:val="auto"/>
        </w:rPr>
        <w:t>Matched PRS</w:t>
      </w:r>
      <w:r>
        <w:rPr>
          <w:rFonts w:ascii="Arial" w:cs="Arial" w:eastAsia="Arial" w:hAnsi="Arial"/>
          <w:sz w:val="21"/>
          <w:szCs w:val="21"/>
          <w:color w:val="auto"/>
          <w:highlight w:val="white"/>
        </w:rPr>
        <w:t>”). Cash shall be paid to Participant in lieu of any fractional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268" w:right="239" w:bottom="1440" w:gutter="0" w:footer="0" w:header="0"/>
        </w:sectPr>
      </w:pPr>
    </w:p>
    <w:bookmarkStart w:id="40" w:name="page41"/>
    <w:bookmarkEnd w:id="40"/>
    <w:p>
      <w:pPr>
        <w:jc w:val="both"/>
        <w:ind w:left="1520" w:hanging="540"/>
        <w:spacing w:after="0" w:line="218" w:lineRule="auto"/>
        <w:tabs>
          <w:tab w:leader="none" w:pos="1520"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Evidence of PRS Awards.</w:t>
      </w:r>
      <w:r>
        <w:rPr>
          <w:rFonts w:ascii="Arial" w:cs="Arial" w:eastAsia="Arial" w:hAnsi="Arial"/>
          <w:sz w:val="22"/>
          <w:szCs w:val="22"/>
          <w:color w:val="auto"/>
        </w:rPr>
        <w:t xml:space="preserve"> Purchased PRS and Matched PRS shall be issued and registered in the name of the Participant and evidence of ownership of the Purchased PRS and Matched PRS shall be retained by the Company in a restricted account maintained by the Company’s designated agent.</w:t>
      </w:r>
    </w:p>
    <w:p>
      <w:pPr>
        <w:spacing w:after="0" w:line="175" w:lineRule="exact"/>
        <w:rPr>
          <w:rFonts w:ascii="Arial" w:cs="Arial" w:eastAsia="Arial" w:hAnsi="Arial"/>
          <w:sz w:val="20"/>
          <w:szCs w:val="20"/>
          <w:color w:val="auto"/>
        </w:rPr>
      </w:pPr>
    </w:p>
    <w:p>
      <w:pPr>
        <w:jc w:val="both"/>
        <w:ind w:left="1520" w:hanging="540"/>
        <w:spacing w:after="0" w:line="215" w:lineRule="auto"/>
        <w:tabs>
          <w:tab w:leader="none" w:pos="1520"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xml:space="preserve"> The Participant shall be entitled to vote PRS (including Matched PRS that are in the form of Shares, but not Matched PRS that are in the form of RSUs) on any matter submitted to a vote of holders of Shares, and shall have all other rights of a shareholder of the Company except as expressly limited by the ECP Award Agreement or the Plan.</w:t>
      </w:r>
    </w:p>
    <w:p>
      <w:pPr>
        <w:spacing w:after="0" w:line="173" w:lineRule="exact"/>
        <w:rPr>
          <w:rFonts w:ascii="Arial" w:cs="Arial" w:eastAsia="Arial" w:hAnsi="Arial"/>
          <w:sz w:val="20"/>
          <w:szCs w:val="20"/>
          <w:color w:val="auto"/>
        </w:rPr>
      </w:pPr>
    </w:p>
    <w:p>
      <w:pPr>
        <w:jc w:val="both"/>
        <w:ind w:left="1520" w:hanging="540"/>
        <w:spacing w:after="0" w:line="213" w:lineRule="auto"/>
        <w:tabs>
          <w:tab w:leader="none" w:pos="1520"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 xml:space="preserve"> </w:t>
      </w:r>
      <w:r>
        <w:rPr>
          <w:rFonts w:ascii="Arial" w:cs="Arial" w:eastAsia="Arial" w:hAnsi="Arial"/>
          <w:sz w:val="22"/>
          <w:szCs w:val="22"/>
          <w:color w:val="auto"/>
          <w:highlight w:val="white"/>
        </w:rPr>
        <w:t>Purchased PRS and Matched PRS in the form of Shares earn dividends</w:t>
      </w:r>
      <w:r>
        <w:rPr>
          <w:rFonts w:ascii="Arial" w:cs="Arial" w:eastAsia="Arial" w:hAnsi="Arial"/>
          <w:sz w:val="22"/>
          <w:szCs w:val="22"/>
          <w:color w:val="auto"/>
        </w:rPr>
        <w:t xml:space="preserve"> </w:t>
      </w:r>
      <w:r>
        <w:rPr>
          <w:rFonts w:ascii="Arial" w:cs="Arial" w:eastAsia="Arial" w:hAnsi="Arial"/>
          <w:sz w:val="22"/>
          <w:szCs w:val="22"/>
          <w:color w:val="auto"/>
          <w:highlight w:val="white"/>
        </w:rPr>
        <w:t xml:space="preserve">(or dividend equivalents in the case of RSUs) and are entitled to distributions during the vesting period </w:t>
      </w:r>
      <w:r>
        <w:rPr>
          <w:rFonts w:ascii="Arial" w:cs="Arial" w:eastAsia="Arial" w:hAnsi="Arial"/>
          <w:sz w:val="22"/>
          <w:szCs w:val="22"/>
          <w:color w:val="auto"/>
        </w:rPr>
        <w:t xml:space="preserve">if and to the extent that the Participant is the record owner of such PRS on any record date for such a dividend or distribution and Participant has not forfeited the Matched PRS on or before the payment </w:t>
      </w:r>
      <w:r>
        <w:rPr>
          <w:rFonts w:ascii="Arial" w:cs="Arial" w:eastAsia="Arial" w:hAnsi="Arial"/>
          <w:sz w:val="22"/>
          <w:szCs w:val="22"/>
          <w:color w:val="auto"/>
          <w:highlight w:val="white"/>
        </w:rPr>
        <w:t>date for such dividend or distribution.</w:t>
      </w:r>
    </w:p>
    <w:p>
      <w:pPr>
        <w:spacing w:after="0" w:line="214" w:lineRule="exact"/>
        <w:rPr>
          <w:rFonts w:ascii="Arial" w:cs="Arial" w:eastAsia="Arial" w:hAnsi="Arial"/>
          <w:sz w:val="20"/>
          <w:szCs w:val="20"/>
          <w:color w:val="auto"/>
        </w:rPr>
      </w:pPr>
    </w:p>
    <w:p>
      <w:pPr>
        <w:ind w:left="1960" w:right="20" w:hanging="439"/>
        <w:spacing w:after="0" w:line="218" w:lineRule="auto"/>
        <w:tabs>
          <w:tab w:leader="none" w:pos="1960" w:val="left"/>
        </w:tabs>
        <w:numPr>
          <w:ilvl w:val="1"/>
          <w:numId w:val="29"/>
        </w:numPr>
        <w:rPr>
          <w:rFonts w:ascii="Arial" w:cs="Arial" w:eastAsia="Arial" w:hAnsi="Arial"/>
          <w:sz w:val="20"/>
          <w:szCs w:val="20"/>
          <w:color w:val="auto"/>
        </w:rPr>
      </w:pPr>
      <w:r>
        <w:rPr>
          <w:rFonts w:ascii="Arial" w:cs="Arial" w:eastAsia="Arial" w:hAnsi="Arial"/>
          <w:sz w:val="22"/>
          <w:szCs w:val="22"/>
          <w:color w:val="auto"/>
        </w:rPr>
        <w:t>In the event of a cash dividend or cash distribution on Shares, such dividend or distribution shall be paid in cash to Participant at the time of payment to shareholders generally and shall be non-forfeitable.</w:t>
      </w:r>
    </w:p>
    <w:p>
      <w:pPr>
        <w:spacing w:after="0" w:line="175" w:lineRule="exact"/>
        <w:rPr>
          <w:rFonts w:ascii="Arial" w:cs="Arial" w:eastAsia="Arial" w:hAnsi="Arial"/>
          <w:sz w:val="20"/>
          <w:szCs w:val="20"/>
          <w:color w:val="auto"/>
        </w:rPr>
      </w:pPr>
    </w:p>
    <w:p>
      <w:pPr>
        <w:ind w:left="1960" w:hanging="439"/>
        <w:spacing w:after="0" w:line="209" w:lineRule="auto"/>
        <w:tabs>
          <w:tab w:leader="none" w:pos="1960" w:val="left"/>
        </w:tabs>
        <w:numPr>
          <w:ilvl w:val="1"/>
          <w:numId w:val="29"/>
        </w:numPr>
        <w:rPr>
          <w:rFonts w:ascii="Arial" w:cs="Arial" w:eastAsia="Arial" w:hAnsi="Arial"/>
          <w:sz w:val="20"/>
          <w:szCs w:val="20"/>
          <w:color w:val="auto"/>
        </w:rPr>
      </w:pPr>
      <w:r>
        <w:rPr>
          <w:rFonts w:ascii="Arial" w:cs="Arial" w:eastAsia="Arial" w:hAnsi="Arial"/>
          <w:sz w:val="22"/>
          <w:szCs w:val="22"/>
          <w:color w:val="auto"/>
        </w:rPr>
        <w:t>In the event of any non-cash dividend or distribution in the form of property other than Shares, such property shall be distributed in respect of Purchased PRS, but the Company (or its designated agent) shall retain in its custody the property so distributed in respect of Matched PRS, which property will become vested if and to the same extent the underlying Matched PRS becomes vested and, to the greatest extent practicable, shall be subject to all other terms and conditions applied to the underlying Matched PRS, including in the event of any dividends or distributions paid in respect of such property; provided, however, that any dividend or distribution of rights that expire before the vesting date will be unrestricted and exercisable by Participant in accordance with their terms.</w:t>
      </w:r>
    </w:p>
    <w:p>
      <w:pPr>
        <w:spacing w:after="0" w:line="218" w:lineRule="exact"/>
        <w:rPr>
          <w:rFonts w:ascii="Arial" w:cs="Arial" w:eastAsia="Arial" w:hAnsi="Arial"/>
          <w:sz w:val="20"/>
          <w:szCs w:val="20"/>
          <w:color w:val="auto"/>
        </w:rPr>
      </w:pPr>
    </w:p>
    <w:p>
      <w:pPr>
        <w:ind w:left="1960" w:right="20" w:hanging="439"/>
        <w:spacing w:after="0" w:line="211" w:lineRule="auto"/>
        <w:tabs>
          <w:tab w:leader="none" w:pos="1960" w:val="left"/>
        </w:tabs>
        <w:numPr>
          <w:ilvl w:val="1"/>
          <w:numId w:val="29"/>
        </w:numPr>
        <w:rPr>
          <w:rFonts w:ascii="Arial" w:cs="Arial" w:eastAsia="Arial" w:hAnsi="Arial"/>
          <w:sz w:val="20"/>
          <w:szCs w:val="20"/>
          <w:color w:val="auto"/>
        </w:rPr>
      </w:pPr>
      <w:r>
        <w:rPr>
          <w:rFonts w:ascii="Arial" w:cs="Arial" w:eastAsia="Arial" w:hAnsi="Arial"/>
          <w:sz w:val="22"/>
          <w:szCs w:val="22"/>
          <w:color w:val="auto"/>
        </w:rPr>
        <w:t>In the event of a dividend or distribution in the form of Shares or a stock split of Shares, the Shares so issued or delivered will be deemed to be additional Purchased PRS or Matched PRS, as the case may be, and in the case of Matched PRS will become vested if and to the same extent as the underlying Matched PRS. If the PRS are in the form of Shares, the dividends and distributions will be made in Shares; if the PRS are in the form of RSUs the dividends and distributions will be made in the form of RSUs.</w:t>
      </w:r>
    </w:p>
    <w:p>
      <w:pPr>
        <w:spacing w:after="0" w:line="218" w:lineRule="exact"/>
        <w:rPr>
          <w:rFonts w:ascii="Arial" w:cs="Arial" w:eastAsia="Arial" w:hAnsi="Arial"/>
          <w:sz w:val="20"/>
          <w:szCs w:val="20"/>
          <w:color w:val="auto"/>
        </w:rPr>
      </w:pPr>
    </w:p>
    <w:p>
      <w:pPr>
        <w:ind w:left="1520" w:hanging="540"/>
        <w:spacing w:after="0"/>
        <w:tabs>
          <w:tab w:leader="none" w:pos="1520" w:val="left"/>
        </w:tabs>
        <w:numPr>
          <w:ilvl w:val="0"/>
          <w:numId w:val="29"/>
        </w:numPr>
        <w:rPr>
          <w:rFonts w:ascii="Arial" w:cs="Arial" w:eastAsia="Arial" w:hAnsi="Arial"/>
          <w:sz w:val="20"/>
          <w:szCs w:val="20"/>
          <w:color w:val="auto"/>
        </w:rPr>
      </w:pPr>
      <w:r>
        <w:rPr>
          <w:rFonts w:ascii="Arial" w:cs="Arial" w:eastAsia="Arial" w:hAnsi="Arial"/>
          <w:sz w:val="22"/>
          <w:szCs w:val="22"/>
          <w:u w:val="single" w:color="auto"/>
          <w:color w:val="auto"/>
        </w:rPr>
        <w:t>Restrictions on PRS</w:t>
      </w:r>
      <w:r>
        <w:rPr>
          <w:rFonts w:ascii="Arial" w:cs="Arial" w:eastAsia="Arial" w:hAnsi="Arial"/>
          <w:sz w:val="22"/>
          <w:szCs w:val="22"/>
          <w:color w:val="auto"/>
        </w:rPr>
        <w:t xml:space="preserve"> The PRS shall be subject to the following restrictions during the vesting period:</w:t>
      </w:r>
    </w:p>
    <w:p>
      <w:pPr>
        <w:spacing w:after="0" w:line="246" w:lineRule="exact"/>
        <w:rPr>
          <w:rFonts w:ascii="Arial" w:cs="Arial" w:eastAsia="Arial" w:hAnsi="Arial"/>
          <w:sz w:val="20"/>
          <w:szCs w:val="20"/>
          <w:color w:val="auto"/>
        </w:rPr>
      </w:pPr>
    </w:p>
    <w:p>
      <w:pPr>
        <w:jc w:val="both"/>
        <w:ind w:left="1960" w:right="300" w:hanging="426"/>
        <w:spacing w:after="0" w:line="246" w:lineRule="auto"/>
        <w:tabs>
          <w:tab w:leader="none" w:pos="1960" w:val="left"/>
        </w:tabs>
        <w:numPr>
          <w:ilvl w:val="2"/>
          <w:numId w:val="29"/>
        </w:numPr>
        <w:rPr>
          <w:rFonts w:ascii="Arial" w:cs="Arial" w:eastAsia="Arial" w:hAnsi="Arial"/>
          <w:sz w:val="20"/>
          <w:szCs w:val="20"/>
          <w:color w:val="auto"/>
        </w:rPr>
      </w:pPr>
      <w:r>
        <w:rPr>
          <w:rFonts w:ascii="Arial" w:cs="Arial" w:eastAsia="Arial" w:hAnsi="Arial"/>
          <w:sz w:val="22"/>
          <w:szCs w:val="22"/>
          <w:u w:val="single" w:color="auto"/>
          <w:color w:val="auto"/>
        </w:rPr>
        <w:t>Purchased PRS.</w:t>
      </w:r>
      <w:r>
        <w:rPr>
          <w:rFonts w:ascii="Arial" w:cs="Arial" w:eastAsia="Arial" w:hAnsi="Arial"/>
          <w:sz w:val="22"/>
          <w:szCs w:val="22"/>
          <w:color w:val="auto"/>
        </w:rPr>
        <w:t xml:space="preserve"> The Participant shall have the right to withdraw, transfer, sell, assign, pledge or encumber (subject to Section 11(b) of the Plan) any or all of the Purchased PRS at any time, by written notice addressed to the Company; provided that such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-4314190</wp:posOffset>
            </wp:positionV>
            <wp:extent cx="628586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5865" cy="28321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-806450</wp:posOffset>
            </wp:positionV>
            <wp:extent cx="481076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10760" cy="14605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592" w:right="239" w:bottom="1440" w:gutter="0" w:footer="0" w:header="0"/>
        </w:sectPr>
      </w:pPr>
    </w:p>
    <w:bookmarkStart w:id="41" w:name="page42"/>
    <w:bookmarkEnd w:id="41"/>
    <w:p>
      <w:pPr>
        <w:ind w:left="1960" w:right="260"/>
        <w:spacing w:after="0" w:line="249" w:lineRule="auto"/>
        <w:rPr>
          <w:sz w:val="20"/>
          <w:szCs w:val="20"/>
          <w:color w:val="auto"/>
        </w:rPr>
      </w:pPr>
      <w:r>
        <w:rPr>
          <w:rFonts w:ascii="Arial" w:cs="Arial" w:eastAsia="Arial" w:hAnsi="Arial"/>
          <w:sz w:val="22"/>
          <w:szCs w:val="22"/>
          <w:color w:val="auto"/>
        </w:rPr>
        <w:t>transfer, sale, assignment, pledge or encumbrance of Purchased PRS will result in forfeiture of a corresponding number of Matched PRS.</w:t>
      </w:r>
    </w:p>
    <w:p>
      <w:pPr>
        <w:spacing w:after="0" w:line="218" w:lineRule="exact"/>
        <w:rPr>
          <w:sz w:val="20"/>
          <w:szCs w:val="20"/>
          <w:color w:val="auto"/>
        </w:rPr>
      </w:pPr>
    </w:p>
    <w:p>
      <w:pPr>
        <w:ind w:left="1960" w:right="20" w:hanging="439"/>
        <w:spacing w:after="0" w:line="219" w:lineRule="auto"/>
        <w:tabs>
          <w:tab w:leader="none" w:pos="1960" w:val="left"/>
        </w:tabs>
        <w:numPr>
          <w:ilvl w:val="1"/>
          <w:numId w:val="30"/>
        </w:numPr>
        <w:rPr>
          <w:rFonts w:ascii="Arial" w:cs="Arial" w:eastAsia="Arial" w:hAnsi="Arial"/>
          <w:sz w:val="19"/>
          <w:szCs w:val="19"/>
          <w:color w:val="auto"/>
        </w:rPr>
      </w:pPr>
      <w:r>
        <w:rPr>
          <w:rFonts w:ascii="Arial" w:cs="Arial" w:eastAsia="Arial" w:hAnsi="Arial"/>
          <w:sz w:val="21"/>
          <w:szCs w:val="21"/>
          <w:u w:val="single" w:color="auto"/>
          <w:color w:val="auto"/>
        </w:rPr>
        <w:t>Matched PRS</w:t>
      </w:r>
      <w:r>
        <w:rPr>
          <w:rFonts w:ascii="Arial" w:cs="Arial" w:eastAsia="Arial" w:hAnsi="Arial"/>
          <w:sz w:val="21"/>
          <w:szCs w:val="21"/>
          <w:color w:val="auto"/>
        </w:rPr>
        <w:t>. Matched PRS are subject to the risk of forfeiture and other restrictions specified in the ECP Award Agreement and these ECP Terms and Conditions. Participant shall have no right to withdraw or otherwise receive delivery of Matched PRS until such time as the Matched PRS have become vested. Until such time as the Matched PRS become vested, Participant may not transfer Matched PRS or any rights thereunder to any third party other than by will or the applicable laws of descent and distribution, except for transfers to a Beneficiary upon the death of Participant or otherwise if and to the extent permitted by the Company and subject to the conditions under Section 11(b) of the Plan. Participant agrees to execute and deliver to the Company one or more stock powers, in such form as may be specified by the Company, authorizing the transfer of the Matched Shares to the Company, upon the request of the Company.</w:t>
      </w:r>
    </w:p>
    <w:p>
      <w:pPr>
        <w:spacing w:after="0" w:line="187" w:lineRule="exact"/>
        <w:rPr>
          <w:rFonts w:ascii="Arial" w:cs="Arial" w:eastAsia="Arial" w:hAnsi="Arial"/>
          <w:sz w:val="19"/>
          <w:szCs w:val="19"/>
          <w:color w:val="auto"/>
        </w:rPr>
      </w:pPr>
    </w:p>
    <w:p>
      <w:pPr>
        <w:jc w:val="both"/>
        <w:ind w:left="660" w:hanging="328"/>
        <w:spacing w:after="0" w:line="226"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Stock-Settled Appreciation Rights (“SSARs”)</w:t>
      </w:r>
      <w:r>
        <w:rPr>
          <w:rFonts w:ascii="Arial" w:cs="Arial" w:eastAsia="Arial" w:hAnsi="Arial"/>
          <w:sz w:val="22"/>
          <w:szCs w:val="22"/>
          <w:color w:val="auto"/>
        </w:rPr>
        <w:t>. SSARs are an award granted under Section 6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under which Participants receive a contractual right to receive the value in Shares of the appreciation in the Company’s Share price from the SSAR Grant Date to the date the SSAR is exercised by the Participant.</w:t>
      </w:r>
    </w:p>
    <w:p>
      <w:pPr>
        <w:spacing w:after="0" w:line="216" w:lineRule="exact"/>
        <w:rPr>
          <w:rFonts w:ascii="Arial" w:cs="Arial" w:eastAsia="Arial" w:hAnsi="Arial"/>
          <w:sz w:val="22"/>
          <w:szCs w:val="22"/>
          <w:color w:val="auto"/>
        </w:rPr>
      </w:pPr>
    </w:p>
    <w:p>
      <w:pPr>
        <w:ind w:left="1960" w:right="140" w:hanging="439"/>
        <w:spacing w:after="0" w:line="215" w:lineRule="auto"/>
        <w:tabs>
          <w:tab w:leader="none" w:pos="1960" w:val="left"/>
        </w:tabs>
        <w:numPr>
          <w:ilvl w:val="1"/>
          <w:numId w:val="31"/>
        </w:numPr>
        <w:rPr>
          <w:rFonts w:ascii="Arial" w:cs="Arial" w:eastAsia="Arial" w:hAnsi="Arial"/>
          <w:sz w:val="20"/>
          <w:szCs w:val="20"/>
          <w:color w:val="auto"/>
        </w:rPr>
      </w:pPr>
      <w:r>
        <w:rPr>
          <w:rFonts w:ascii="Arial" w:cs="Arial" w:eastAsia="Arial" w:hAnsi="Arial"/>
          <w:sz w:val="22"/>
          <w:szCs w:val="22"/>
          <w:u w:val="single" w:color="auto"/>
          <w:color w:val="auto"/>
        </w:rPr>
        <w:t>Number of SSARS Granted</w:t>
      </w:r>
      <w:r>
        <w:rPr>
          <w:rFonts w:ascii="Arial" w:cs="Arial" w:eastAsia="Arial" w:hAnsi="Arial"/>
          <w:sz w:val="22"/>
          <w:szCs w:val="22"/>
          <w:color w:val="auto"/>
        </w:rPr>
        <w:t>. The total number of SSARs granted by the Company to a Participant is set forth on the first page of the ECP Award Agreement and is based on 4.5 times the Participant’s SSARs award value divided by the Fair Market Value of a Share on the Grant Date. By way of example:</w:t>
      </w:r>
    </w:p>
    <w:p>
      <w:pPr>
        <w:spacing w:after="0" w:line="173" w:lineRule="exact"/>
        <w:rPr>
          <w:rFonts w:ascii="Arial" w:cs="Arial" w:eastAsia="Arial" w:hAnsi="Arial"/>
          <w:sz w:val="20"/>
          <w:szCs w:val="20"/>
          <w:color w:val="auto"/>
        </w:rPr>
      </w:pPr>
    </w:p>
    <w:p>
      <w:pPr>
        <w:ind w:left="1960" w:right="180"/>
        <w:spacing w:after="0" w:line="213" w:lineRule="auto"/>
        <w:rPr>
          <w:rFonts w:ascii="Arial" w:cs="Arial" w:eastAsia="Arial" w:hAnsi="Arial"/>
          <w:sz w:val="20"/>
          <w:szCs w:val="20"/>
          <w:color w:val="auto"/>
        </w:rPr>
      </w:pPr>
      <w:r>
        <w:rPr>
          <w:rFonts w:ascii="Arial" w:cs="Arial" w:eastAsia="Arial" w:hAnsi="Arial"/>
          <w:sz w:val="22"/>
          <w:szCs w:val="22"/>
          <w:color w:val="auto"/>
        </w:rPr>
        <w:t>“If the Participant’s ECP Award value is $100 and the Participant elects to allocate the total ECP Award to SSARs, then the number of SSARs granted to the Participant would be equal to $100 multiplied by 4.5 divided by the Fair Market Value of a Share on the Grant Date. If the Fair Market Value of Share on the Grant Date was $10 per Share, then the Participant would receive 45 SSARs.”</w:t>
      </w:r>
    </w:p>
    <w:p>
      <w:pPr>
        <w:spacing w:after="0" w:line="214" w:lineRule="exact"/>
        <w:rPr>
          <w:rFonts w:ascii="Arial" w:cs="Arial" w:eastAsia="Arial" w:hAnsi="Arial"/>
          <w:sz w:val="20"/>
          <w:szCs w:val="20"/>
          <w:color w:val="auto"/>
        </w:rPr>
      </w:pPr>
    </w:p>
    <w:p>
      <w:pPr>
        <w:ind w:left="1960" w:right="180" w:hanging="439"/>
        <w:spacing w:after="0" w:line="218" w:lineRule="auto"/>
        <w:tabs>
          <w:tab w:leader="none" w:pos="1960" w:val="left"/>
        </w:tabs>
        <w:numPr>
          <w:ilvl w:val="1"/>
          <w:numId w:val="31"/>
        </w:numPr>
        <w:rPr>
          <w:rFonts w:ascii="Arial" w:cs="Arial" w:eastAsia="Arial" w:hAnsi="Arial"/>
          <w:sz w:val="20"/>
          <w:szCs w:val="20"/>
          <w:color w:val="auto"/>
        </w:rPr>
      </w:pPr>
      <w:r>
        <w:rPr>
          <w:rFonts w:ascii="Arial" w:cs="Arial" w:eastAsia="Arial" w:hAnsi="Arial"/>
          <w:sz w:val="22"/>
          <w:szCs w:val="22"/>
          <w:u w:val="single" w:color="auto"/>
          <w:color w:val="auto"/>
        </w:rPr>
        <w:t>Evidence of SSAR Awards</w:t>
      </w:r>
      <w:r>
        <w:rPr>
          <w:rFonts w:ascii="Arial" w:cs="Arial" w:eastAsia="Arial" w:hAnsi="Arial"/>
          <w:sz w:val="22"/>
          <w:szCs w:val="22"/>
          <w:color w:val="auto"/>
          <w:highlight w:val="white"/>
        </w:rPr>
        <w:t>. Prior to vesting, the Company (or its designated agent) shall maintain</w:t>
      </w:r>
      <w:r>
        <w:rPr>
          <w:rFonts w:ascii="Arial" w:cs="Arial" w:eastAsia="Arial" w:hAnsi="Arial"/>
          <w:sz w:val="22"/>
          <w:szCs w:val="22"/>
          <w:color w:val="auto"/>
        </w:rPr>
        <w:t xml:space="preserve"> </w:t>
      </w:r>
      <w:r>
        <w:rPr>
          <w:rFonts w:ascii="Arial" w:cs="Arial" w:eastAsia="Arial" w:hAnsi="Arial"/>
          <w:sz w:val="22"/>
          <w:szCs w:val="22"/>
          <w:color w:val="auto"/>
          <w:highlight w:val="white"/>
        </w:rPr>
        <w:t>a bookkeeping account reflecting the number of SSARs granted as part of an ECP Award, and credited to a Participant’s account.</w:t>
      </w:r>
    </w:p>
    <w:p>
      <w:pPr>
        <w:spacing w:after="0" w:line="147" w:lineRule="exact"/>
        <w:rPr>
          <w:rFonts w:ascii="Arial" w:cs="Arial" w:eastAsia="Arial" w:hAnsi="Arial"/>
          <w:sz w:val="20"/>
          <w:szCs w:val="20"/>
          <w:color w:val="auto"/>
        </w:rPr>
      </w:pPr>
    </w:p>
    <w:p>
      <w:pPr>
        <w:ind w:left="1960" w:right="40" w:hanging="439"/>
        <w:spacing w:after="0" w:line="211" w:lineRule="auto"/>
        <w:tabs>
          <w:tab w:leader="none" w:pos="1960" w:val="left"/>
        </w:tabs>
        <w:numPr>
          <w:ilvl w:val="1"/>
          <w:numId w:val="31"/>
        </w:numPr>
        <w:rPr>
          <w:rFonts w:ascii="Arial" w:cs="Arial" w:eastAsia="Arial" w:hAnsi="Arial"/>
          <w:sz w:val="20"/>
          <w:szCs w:val="20"/>
          <w:color w:val="auto"/>
        </w:rPr>
      </w:pPr>
      <w:r>
        <w:rPr>
          <w:rFonts w:ascii="Arial" w:cs="Arial" w:eastAsia="Arial" w:hAnsi="Arial"/>
          <w:sz w:val="22"/>
          <w:szCs w:val="22"/>
          <w:u w:val="single" w:color="auto"/>
          <w:color w:val="auto"/>
        </w:rPr>
        <w:t>Exercise and Payment of Awards</w:t>
      </w:r>
      <w:r>
        <w:rPr>
          <w:rFonts w:ascii="Arial" w:cs="Arial" w:eastAsia="Arial" w:hAnsi="Arial"/>
          <w:sz w:val="22"/>
          <w:szCs w:val="22"/>
          <w:color w:val="auto"/>
        </w:rPr>
        <w:t xml:space="preserve"> . A Participant may exercise vested SSARs by delivering written </w:t>
      </w:r>
      <w:r>
        <w:rPr>
          <w:rFonts w:ascii="Arial" w:cs="Arial" w:eastAsia="Arial" w:hAnsi="Arial"/>
          <w:sz w:val="22"/>
          <w:szCs w:val="22"/>
          <w:color w:val="auto"/>
          <w:highlight w:val="white"/>
        </w:rPr>
        <w:t>notice to the Company stating the number of Shares as to which SSARS are being exercised and the name in which Participant wishes the Shares to be issued. SSARs may only be exercised on a date that the Fair Market Value of a Share exceeds the Base Price (as defined below) and only if the SSARs are otherwise exercisable at such date. Upon exercise of SSARs, a Participant shall be entitled to receive payment in Shares, calculated as follows:</w:t>
      </w:r>
    </w:p>
    <w:p>
      <w:pPr>
        <w:spacing w:after="0" w:line="141"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2"/>
          <w:szCs w:val="22"/>
          <w:color w:val="auto"/>
        </w:rPr>
        <w:t xml:space="preserve">Shares Paid = (FMV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Base Price)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w:t>
      </w:r>
      <w:r>
        <w:rPr>
          <w:rFonts w:ascii="Arial" w:cs="Arial" w:eastAsia="Arial" w:hAnsi="Arial"/>
          <w:sz w:val="22"/>
          <w:szCs w:val="22"/>
          <w:color w:val="auto"/>
          <w:highlight w:val="white"/>
        </w:rPr>
        <w:t>(number of SSARs exercised)</w:t>
      </w:r>
      <w:r>
        <w:rPr>
          <w:rFonts w:ascii="Arial" w:cs="Arial" w:eastAsia="Arial" w:hAnsi="Arial"/>
          <w:sz w:val="22"/>
          <w:szCs w:val="22"/>
          <w:color w:val="auto"/>
        </w:rPr>
        <w:t xml:space="preserve"> </w:t>
      </w:r>
      <w:r>
        <w:rPr>
          <w:rFonts w:ascii="Arial" w:cs="Arial" w:eastAsia="Arial" w:hAnsi="Arial"/>
          <w:sz w:val="22"/>
          <w:szCs w:val="22"/>
          <w:u w:val="single" w:color="auto"/>
          <w:color w:val="auto"/>
          <w:highlight w:val="white"/>
        </w:rPr>
        <w:t>divided by</w:t>
      </w:r>
    </w:p>
    <w:p>
      <w:pPr>
        <w:ind w:left="1960"/>
        <w:spacing w:after="0"/>
        <w:rPr>
          <w:rFonts w:ascii="Arial" w:cs="Arial" w:eastAsia="Arial" w:hAnsi="Arial"/>
          <w:sz w:val="20"/>
          <w:szCs w:val="20"/>
          <w:color w:val="auto"/>
        </w:rPr>
      </w:pPr>
      <w:r>
        <w:rPr>
          <w:rFonts w:ascii="Arial" w:cs="Arial" w:eastAsia="Arial" w:hAnsi="Arial"/>
          <w:sz w:val="22"/>
          <w:szCs w:val="22"/>
          <w:color w:val="auto"/>
        </w:rPr>
        <w:t>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-1253490</wp:posOffset>
            </wp:positionV>
            <wp:extent cx="39192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9220" cy="14605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619" w:right="239" w:bottom="1440" w:gutter="0" w:footer="0" w:header="0"/>
        </w:sectPr>
      </w:pPr>
    </w:p>
    <w:bookmarkStart w:id="42" w:name="page43"/>
    <w:bookmarkEnd w:id="42"/>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FMV</w:t>
      </w:r>
      <w:r>
        <w:rPr>
          <w:rFonts w:ascii="Arial" w:cs="Arial" w:eastAsia="Arial" w:hAnsi="Arial"/>
          <w:sz w:val="22"/>
          <w:szCs w:val="22"/>
          <w:color w:val="auto"/>
          <w:highlight w:val="white"/>
        </w:rPr>
        <w:t>” is the Fair Market Value of a Share at the exercise date</w:t>
      </w: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highlight w:val="white"/>
        </w:rPr>
        <w:t>Base Price</w:t>
      </w:r>
      <w:r>
        <w:rPr>
          <w:rFonts w:ascii="Arial" w:cs="Arial" w:eastAsia="Arial" w:hAnsi="Arial"/>
          <w:sz w:val="22"/>
          <w:szCs w:val="22"/>
          <w:color w:val="auto"/>
          <w:highlight w:val="white"/>
        </w:rPr>
        <w:t>” is the Share price on the Grant Date as set forth in the Award Agreement.</w:t>
      </w:r>
    </w:p>
    <w:p>
      <w:pPr>
        <w:spacing w:after="0" w:line="179" w:lineRule="exact"/>
        <w:rPr>
          <w:sz w:val="20"/>
          <w:szCs w:val="20"/>
          <w:color w:val="auto"/>
        </w:rPr>
      </w:pPr>
    </w:p>
    <w:p>
      <w:pPr>
        <w:jc w:val="both"/>
        <w:ind w:left="1960" w:right="60"/>
        <w:spacing w:after="0" w:line="218" w:lineRule="auto"/>
        <w:rPr>
          <w:sz w:val="20"/>
          <w:szCs w:val="20"/>
          <w:color w:val="auto"/>
        </w:rPr>
      </w:pPr>
      <w:r>
        <w:rPr>
          <w:rFonts w:ascii="Arial" w:cs="Arial" w:eastAsia="Arial" w:hAnsi="Arial"/>
          <w:sz w:val="22"/>
          <w:szCs w:val="22"/>
          <w:color w:val="auto"/>
        </w:rPr>
        <w:t>If any fractional Share would be deliverable upon exercise, after taking into account withholding for mandatory taxes, the Company will pay cash in lieu of delivery of such fractional Share or will use such cash to apply towards withholding for taxes.</w:t>
      </w:r>
    </w:p>
    <w:p>
      <w:pPr>
        <w:spacing w:after="0" w:line="175" w:lineRule="exact"/>
        <w:rPr>
          <w:sz w:val="20"/>
          <w:szCs w:val="20"/>
          <w:color w:val="auto"/>
        </w:rPr>
      </w:pPr>
    </w:p>
    <w:p>
      <w:pPr>
        <w:ind w:left="1960" w:right="200" w:hanging="439"/>
        <w:spacing w:after="0" w:line="215" w:lineRule="auto"/>
        <w:tabs>
          <w:tab w:leader="none" w:pos="1960" w:val="left"/>
        </w:tabs>
        <w:numPr>
          <w:ilvl w:val="3"/>
          <w:numId w:val="32"/>
        </w:numPr>
        <w:rPr>
          <w:rFonts w:ascii="Arial" w:cs="Arial" w:eastAsia="Arial" w:hAnsi="Arial"/>
          <w:sz w:val="20"/>
          <w:szCs w:val="20"/>
          <w:color w:val="auto"/>
        </w:rPr>
      </w:pPr>
      <w:r>
        <w:rPr>
          <w:rFonts w:ascii="Arial" w:cs="Arial" w:eastAsia="Arial" w:hAnsi="Arial"/>
          <w:sz w:val="22"/>
          <w:szCs w:val="22"/>
          <w:u w:val="single" w:color="auto"/>
          <w:color w:val="auto"/>
        </w:rPr>
        <w:t>Exercise Period</w:t>
      </w:r>
      <w:r>
        <w:rPr>
          <w:rFonts w:ascii="Arial" w:cs="Arial" w:eastAsia="Arial" w:hAnsi="Arial"/>
          <w:sz w:val="22"/>
          <w:szCs w:val="22"/>
          <w:color w:val="auto"/>
          <w:highlight w:val="white"/>
        </w:rPr>
        <w:t>. SSARs are exercisable for a seven (7) year period, as measured from the Grant</w:t>
      </w:r>
      <w:r>
        <w:rPr>
          <w:rFonts w:ascii="Arial" w:cs="Arial" w:eastAsia="Arial" w:hAnsi="Arial"/>
          <w:sz w:val="22"/>
          <w:szCs w:val="22"/>
          <w:color w:val="auto"/>
        </w:rPr>
        <w:t xml:space="preserve"> </w:t>
      </w:r>
      <w:r>
        <w:rPr>
          <w:rFonts w:ascii="Arial" w:cs="Arial" w:eastAsia="Arial" w:hAnsi="Arial"/>
          <w:sz w:val="22"/>
          <w:szCs w:val="22"/>
          <w:color w:val="auto"/>
          <w:highlight w:val="white"/>
        </w:rPr>
        <w:t>Date or such earlier date as such SSAR may terminate as described herein. If, on the date the SSARs expire or terminate, the Fair Market Value of a Share exceeds the Base Price and the SSARs are otherwise exercisable, the SSARs shall be automatically exercised.</w:t>
      </w:r>
    </w:p>
    <w:p>
      <w:pPr>
        <w:spacing w:after="0" w:line="146" w:lineRule="exact"/>
        <w:rPr>
          <w:rFonts w:ascii="Arial" w:cs="Arial" w:eastAsia="Arial" w:hAnsi="Arial"/>
          <w:sz w:val="20"/>
          <w:szCs w:val="20"/>
          <w:color w:val="auto"/>
        </w:rPr>
      </w:pPr>
    </w:p>
    <w:p>
      <w:pPr>
        <w:ind w:left="1960" w:hanging="439"/>
        <w:spacing w:after="0"/>
        <w:tabs>
          <w:tab w:leader="none" w:pos="1960" w:val="left"/>
        </w:tabs>
        <w:numPr>
          <w:ilvl w:val="3"/>
          <w:numId w:val="32"/>
        </w:numPr>
        <w:rPr>
          <w:rFonts w:ascii="Arial" w:cs="Arial" w:eastAsia="Arial" w:hAnsi="Arial"/>
          <w:sz w:val="19"/>
          <w:szCs w:val="19"/>
          <w:color w:val="auto"/>
        </w:rPr>
      </w:pPr>
      <w:r>
        <w:rPr>
          <w:rFonts w:ascii="Arial" w:cs="Arial" w:eastAsia="Arial" w:hAnsi="Arial"/>
          <w:sz w:val="21"/>
          <w:szCs w:val="21"/>
          <w:u w:val="single" w:color="auto"/>
          <w:color w:val="auto"/>
        </w:rPr>
        <w:t>Dividend and Voting Rights</w:t>
      </w:r>
      <w:r>
        <w:rPr>
          <w:rFonts w:ascii="Arial" w:cs="Arial" w:eastAsia="Arial" w:hAnsi="Arial"/>
          <w:sz w:val="21"/>
          <w:szCs w:val="21"/>
          <w:color w:val="auto"/>
          <w:highlight w:val="white"/>
        </w:rPr>
        <w:t>. SSARS do not earn dividends and are not entitled to any voting rights.</w:t>
      </w:r>
    </w:p>
    <w:p>
      <w:pPr>
        <w:spacing w:after="0" w:line="200" w:lineRule="exact"/>
        <w:rPr>
          <w:rFonts w:ascii="Arial" w:cs="Arial" w:eastAsia="Arial" w:hAnsi="Arial"/>
          <w:sz w:val="19"/>
          <w:szCs w:val="19"/>
          <w:color w:val="auto"/>
        </w:rPr>
      </w:pPr>
    </w:p>
    <w:p>
      <w:pPr>
        <w:spacing w:after="0" w:line="288" w:lineRule="exact"/>
        <w:rPr>
          <w:rFonts w:ascii="Arial" w:cs="Arial" w:eastAsia="Arial" w:hAnsi="Arial"/>
          <w:sz w:val="19"/>
          <w:szCs w:val="19"/>
          <w:color w:val="auto"/>
        </w:rPr>
      </w:pPr>
    </w:p>
    <w:p>
      <w:pPr>
        <w:ind w:left="980" w:hanging="324"/>
        <w:spacing w:after="0" w:line="274" w:lineRule="auto"/>
        <w:tabs>
          <w:tab w:leader="none" w:pos="98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Restricted Stock Units (“RSUs”)</w:t>
      </w:r>
      <w:r>
        <w:rPr>
          <w:rFonts w:ascii="Arial" w:cs="Arial" w:eastAsia="Arial" w:hAnsi="Arial"/>
          <w:sz w:val="22"/>
          <w:szCs w:val="22"/>
          <w:color w:val="auto"/>
        </w:rPr>
        <w:t>. RSUs are an Award granted under Section 6 of the Plan, under which</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receive a contractual right to receive unrestricted Shares upon vesting.</w:t>
      </w:r>
    </w:p>
    <w:p>
      <w:pPr>
        <w:spacing w:after="0" w:line="191" w:lineRule="exact"/>
        <w:rPr>
          <w:rFonts w:ascii="Arial" w:cs="Arial" w:eastAsia="Arial" w:hAnsi="Arial"/>
          <w:sz w:val="22"/>
          <w:szCs w:val="22"/>
          <w:color w:val="auto"/>
        </w:rPr>
      </w:pPr>
    </w:p>
    <w:p>
      <w:pPr>
        <w:ind w:left="1960" w:right="80" w:hanging="439"/>
        <w:spacing w:after="0" w:line="218" w:lineRule="auto"/>
        <w:tabs>
          <w:tab w:leader="none" w:pos="1960" w:val="left"/>
        </w:tabs>
        <w:numPr>
          <w:ilvl w:val="3"/>
          <w:numId w:val="33"/>
        </w:numPr>
        <w:rPr>
          <w:rFonts w:ascii="Arial" w:cs="Arial" w:eastAsia="Arial" w:hAnsi="Arial"/>
          <w:sz w:val="20"/>
          <w:szCs w:val="20"/>
          <w:color w:val="auto"/>
        </w:rPr>
      </w:pPr>
      <w:r>
        <w:rPr>
          <w:rFonts w:ascii="Arial" w:cs="Arial" w:eastAsia="Arial" w:hAnsi="Arial"/>
          <w:sz w:val="22"/>
          <w:szCs w:val="22"/>
          <w:u w:val="single" w:color="auto"/>
          <w:color w:val="auto"/>
        </w:rPr>
        <w:t>Number of RSUs granted</w:t>
      </w:r>
      <w:r>
        <w:rPr>
          <w:rFonts w:ascii="Arial" w:cs="Arial" w:eastAsia="Arial" w:hAnsi="Arial"/>
          <w:sz w:val="22"/>
          <w:szCs w:val="22"/>
          <w:color w:val="auto"/>
        </w:rPr>
        <w:t>. The total number of RSUs granted by the Company to a Participant is set forth on the first page of the ECP Award Agreement and is based on the Fair Market Value of a Share on the Grant Date.</w:t>
      </w:r>
    </w:p>
    <w:p>
      <w:pPr>
        <w:spacing w:after="0" w:line="175" w:lineRule="exact"/>
        <w:rPr>
          <w:rFonts w:ascii="Arial" w:cs="Arial" w:eastAsia="Arial" w:hAnsi="Arial"/>
          <w:sz w:val="20"/>
          <w:szCs w:val="20"/>
          <w:color w:val="auto"/>
        </w:rPr>
      </w:pPr>
    </w:p>
    <w:p>
      <w:pPr>
        <w:ind w:left="1960" w:right="380" w:hanging="439"/>
        <w:spacing w:after="0" w:line="218" w:lineRule="auto"/>
        <w:tabs>
          <w:tab w:leader="none" w:pos="1960" w:val="left"/>
        </w:tabs>
        <w:numPr>
          <w:ilvl w:val="3"/>
          <w:numId w:val="33"/>
        </w:numPr>
        <w:rPr>
          <w:rFonts w:ascii="Arial" w:cs="Arial" w:eastAsia="Arial" w:hAnsi="Arial"/>
          <w:sz w:val="20"/>
          <w:szCs w:val="20"/>
          <w:color w:val="auto"/>
        </w:rPr>
      </w:pPr>
      <w:r>
        <w:rPr>
          <w:rFonts w:ascii="Arial" w:cs="Arial" w:eastAsia="Arial" w:hAnsi="Arial"/>
          <w:sz w:val="22"/>
          <w:szCs w:val="22"/>
          <w:u w:val="single" w:color="auto"/>
          <w:color w:val="auto"/>
        </w:rPr>
        <w:t>Evidence of RSU Award.</w:t>
      </w:r>
      <w:r>
        <w:rPr>
          <w:rFonts w:ascii="Arial" w:cs="Arial" w:eastAsia="Arial" w:hAnsi="Arial"/>
          <w:sz w:val="22"/>
          <w:szCs w:val="22"/>
          <w:color w:val="auto"/>
        </w:rPr>
        <w:t xml:space="preserve"> Prior to vesting, the Company or its designated agent shall maintain a bookkeeping account reflecting the number of RSUs granted as part of an ECP Award, and credited to a Participant’s account.</w:t>
      </w:r>
    </w:p>
    <w:p>
      <w:pPr>
        <w:spacing w:after="0" w:line="215" w:lineRule="exact"/>
        <w:rPr>
          <w:rFonts w:ascii="Arial" w:cs="Arial" w:eastAsia="Arial" w:hAnsi="Arial"/>
          <w:sz w:val="20"/>
          <w:szCs w:val="20"/>
          <w:color w:val="auto"/>
        </w:rPr>
      </w:pPr>
    </w:p>
    <w:p>
      <w:pPr>
        <w:jc w:val="both"/>
        <w:ind w:left="1960" w:right="200" w:hanging="439"/>
        <w:spacing w:after="0" w:line="218" w:lineRule="auto"/>
        <w:tabs>
          <w:tab w:leader="none" w:pos="1960" w:val="left"/>
        </w:tabs>
        <w:numPr>
          <w:ilvl w:val="3"/>
          <w:numId w:val="33"/>
        </w:numPr>
        <w:rPr>
          <w:rFonts w:ascii="Arial" w:cs="Arial" w:eastAsia="Arial" w:hAnsi="Arial"/>
          <w:sz w:val="20"/>
          <w:szCs w:val="20"/>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Upon vesting, the RSUs will be settled by delivery of one share of Company Common Stock for each RSU being settled. Such settlement shall occur promptly on or following the vesting of each RSU.</w:t>
      </w:r>
    </w:p>
    <w:p>
      <w:pPr>
        <w:spacing w:after="0" w:line="189" w:lineRule="exact"/>
        <w:rPr>
          <w:rFonts w:ascii="Arial" w:cs="Arial" w:eastAsia="Arial" w:hAnsi="Arial"/>
          <w:sz w:val="20"/>
          <w:szCs w:val="20"/>
          <w:color w:val="auto"/>
        </w:rPr>
      </w:pPr>
    </w:p>
    <w:p>
      <w:pPr>
        <w:ind w:left="1960" w:right="240" w:hanging="439"/>
        <w:spacing w:after="0" w:line="237" w:lineRule="auto"/>
        <w:tabs>
          <w:tab w:leader="none" w:pos="1960" w:val="left"/>
        </w:tabs>
        <w:numPr>
          <w:ilvl w:val="3"/>
          <w:numId w:val="33"/>
        </w:numPr>
        <w:rPr>
          <w:rFonts w:ascii="Arial" w:cs="Arial" w:eastAsia="Arial" w:hAnsi="Arial"/>
          <w:sz w:val="20"/>
          <w:szCs w:val="20"/>
          <w:b w:val="1"/>
          <w:bCs w:val="1"/>
          <w:color w:val="auto"/>
        </w:rPr>
      </w:pPr>
      <w:r>
        <w:rPr>
          <w:rFonts w:ascii="Arial" w:cs="Arial" w:eastAsia="Arial" w:hAnsi="Arial"/>
          <w:sz w:val="22"/>
          <w:szCs w:val="22"/>
          <w:u w:val="single" w:color="auto"/>
          <w:color w:val="auto"/>
        </w:rPr>
        <w:t>Dividends/Dividend Equivalents and Voting Rights</w:t>
      </w:r>
      <w:r>
        <w:rPr>
          <w:rFonts w:ascii="Arial" w:cs="Arial" w:eastAsia="Arial" w:hAnsi="Arial"/>
          <w:sz w:val="22"/>
          <w:szCs w:val="22"/>
          <w:b w:val="1"/>
          <w:bCs w:val="1"/>
          <w:color w:val="auto"/>
        </w:rPr>
        <w:t>.</w:t>
      </w:r>
      <w:r>
        <w:rPr>
          <w:rFonts w:ascii="Arial" w:cs="Arial" w:eastAsia="Arial" w:hAnsi="Arial"/>
          <w:sz w:val="22"/>
          <w:szCs w:val="22"/>
          <w:color w:val="auto"/>
        </w:rPr>
        <w:t xml:space="preserve"> RSUs do not provide voting or dividend rights until fully vested and no dividends will be paid or credited on any RSUs.</w:t>
      </w:r>
    </w:p>
    <w:p>
      <w:pPr>
        <w:spacing w:after="0" w:line="200" w:lineRule="exact"/>
        <w:rPr>
          <w:rFonts w:ascii="Arial" w:cs="Arial" w:eastAsia="Arial" w:hAnsi="Arial"/>
          <w:sz w:val="20"/>
          <w:szCs w:val="20"/>
          <w:b w:val="1"/>
          <w:bCs w:val="1"/>
          <w:color w:val="auto"/>
        </w:rPr>
      </w:pPr>
    </w:p>
    <w:p>
      <w:pPr>
        <w:spacing w:after="0" w:line="232" w:lineRule="exact"/>
        <w:rPr>
          <w:rFonts w:ascii="Arial" w:cs="Arial" w:eastAsia="Arial" w:hAnsi="Arial"/>
          <w:sz w:val="20"/>
          <w:szCs w:val="20"/>
          <w:b w:val="1"/>
          <w:bCs w:val="1"/>
          <w:color w:val="auto"/>
        </w:rPr>
      </w:pPr>
    </w:p>
    <w:p>
      <w:pPr>
        <w:ind w:left="660" w:hanging="328"/>
        <w:spacing w:after="0" w:line="274" w:lineRule="auto"/>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The following provisions will govern the treatment of a Participant’s ECP Award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 termination of employment.</w:t>
      </w:r>
    </w:p>
    <w:p>
      <w:pPr>
        <w:spacing w:after="0" w:line="218" w:lineRule="exact"/>
        <w:rPr>
          <w:rFonts w:ascii="Arial" w:cs="Arial" w:eastAsia="Arial" w:hAnsi="Arial"/>
          <w:sz w:val="22"/>
          <w:szCs w:val="22"/>
          <w:color w:val="auto"/>
        </w:rPr>
      </w:pPr>
    </w:p>
    <w:p>
      <w:pPr>
        <w:ind w:left="980" w:right="20" w:hanging="324"/>
        <w:spacing w:after="0" w:line="249" w:lineRule="auto"/>
        <w:tabs>
          <w:tab w:leader="none" w:pos="98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for Cause or Resignation.</w:t>
      </w:r>
      <w:r>
        <w:rPr>
          <w:rFonts w:ascii="Arial" w:cs="Arial" w:eastAsia="Arial" w:hAnsi="Arial"/>
          <w:sz w:val="22"/>
          <w:szCs w:val="22"/>
          <w:color w:val="auto"/>
        </w:rPr>
        <w:t xml:space="preserve"> If a Participant terminates employment for Cause (as defined in the Plan) or voluntarily terminates (other than a Normal Retirement or Early Retirement), then:</w:t>
      </w:r>
    </w:p>
    <w:p>
      <w:pPr>
        <w:spacing w:after="0" w:line="244" w:lineRule="exact"/>
        <w:rPr>
          <w:rFonts w:ascii="Arial" w:cs="Arial" w:eastAsia="Arial" w:hAnsi="Arial"/>
          <w:sz w:val="22"/>
          <w:szCs w:val="22"/>
          <w:color w:val="auto"/>
        </w:rPr>
      </w:pPr>
    </w:p>
    <w:p>
      <w:pPr>
        <w:ind w:left="1520" w:hanging="540"/>
        <w:spacing w:after="0"/>
        <w:tabs>
          <w:tab w:leader="none" w:pos="1520" w:val="left"/>
        </w:tabs>
        <w:numPr>
          <w:ilvl w:val="2"/>
          <w:numId w:val="34"/>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PRS Matched Shares</w:t>
      </w:r>
      <w:r>
        <w:rPr>
          <w:rFonts w:ascii="Arial" w:cs="Arial" w:eastAsia="Arial" w:hAnsi="Arial"/>
          <w:sz w:val="22"/>
          <w:szCs w:val="22"/>
          <w:color w:val="auto"/>
        </w:rPr>
        <w:t xml:space="preserve"> will be immediately forfeited;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555" w:right="239" w:bottom="1440" w:gutter="0" w:footer="0" w:header="0"/>
        </w:sectPr>
      </w:pPr>
    </w:p>
    <w:bookmarkStart w:id="43" w:name="page44"/>
    <w:bookmarkEnd w:id="43"/>
    <w:p>
      <w:pPr>
        <w:jc w:val="both"/>
        <w:ind w:left="1520" w:hanging="540"/>
        <w:spacing w:after="0" w:line="259" w:lineRule="auto"/>
        <w:tabs>
          <w:tab w:leader="none" w:pos="1520" w:val="left"/>
        </w:tabs>
        <w:numPr>
          <w:ilvl w:val="1"/>
          <w:numId w:val="35"/>
        </w:numPr>
        <w:rPr>
          <w:rFonts w:ascii="Arial" w:cs="Arial" w:eastAsia="Arial" w:hAnsi="Arial"/>
          <w:sz w:val="19"/>
          <w:szCs w:val="19"/>
          <w:color w:val="auto"/>
        </w:rPr>
      </w:pPr>
      <w:r>
        <w:rPr>
          <w:rFonts w:ascii="Arial" w:cs="Arial" w:eastAsia="Arial" w:hAnsi="Arial"/>
          <w:sz w:val="21"/>
          <w:szCs w:val="21"/>
          <w:color w:val="auto"/>
        </w:rPr>
        <w:t xml:space="preserve">All outstanding unvested </w:t>
      </w:r>
      <w:r>
        <w:rPr>
          <w:rFonts w:ascii="Arial" w:cs="Arial" w:eastAsia="Arial" w:hAnsi="Arial"/>
          <w:sz w:val="21"/>
          <w:szCs w:val="21"/>
          <w:u w:val="single" w:color="auto"/>
          <w:color w:val="auto"/>
        </w:rPr>
        <w:t>SSARs</w:t>
      </w:r>
      <w:r>
        <w:rPr>
          <w:rFonts w:ascii="Arial" w:cs="Arial" w:eastAsia="Arial" w:hAnsi="Arial"/>
          <w:sz w:val="21"/>
          <w:szCs w:val="21"/>
          <w:color w:val="auto"/>
        </w:rPr>
        <w:t xml:space="preserve"> will be immediately forfeited and all vested SSARs (i) will cease to be exercisable and will terminate three (3) months after termination of employment with the Company (or an affiliate of the Company) due to a voluntary termination by the Participant (but in no event after the expiration date of the award grant) and (ii) all outstanding vested SSARs will cease to be exercisable and will immediately terminate in the case of a termination for Cause by the Company; and,</w:t>
      </w:r>
    </w:p>
    <w:p>
      <w:pPr>
        <w:spacing w:after="0" w:line="236" w:lineRule="exact"/>
        <w:rPr>
          <w:rFonts w:ascii="Arial" w:cs="Arial" w:eastAsia="Arial" w:hAnsi="Arial"/>
          <w:sz w:val="19"/>
          <w:szCs w:val="19"/>
          <w:color w:val="auto"/>
        </w:rPr>
      </w:pPr>
    </w:p>
    <w:p>
      <w:pPr>
        <w:ind w:left="1520" w:hanging="540"/>
        <w:spacing w:after="0"/>
        <w:tabs>
          <w:tab w:leader="none" w:pos="1520" w:val="left"/>
        </w:tabs>
        <w:numPr>
          <w:ilvl w:val="1"/>
          <w:numId w:val="35"/>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be immediately forfeited.</w:t>
      </w:r>
    </w:p>
    <w:p>
      <w:pPr>
        <w:spacing w:after="0" w:line="233" w:lineRule="exact"/>
        <w:rPr>
          <w:rFonts w:ascii="Arial" w:cs="Arial" w:eastAsia="Arial" w:hAnsi="Arial"/>
          <w:sz w:val="20"/>
          <w:szCs w:val="20"/>
          <w:color w:val="auto"/>
        </w:rPr>
      </w:pPr>
    </w:p>
    <w:p>
      <w:pPr>
        <w:ind w:left="980" w:hanging="324"/>
        <w:spacing w:after="0" w:line="249" w:lineRule="auto"/>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 or Normal Retirement</w:t>
      </w:r>
      <w:r>
        <w:rPr>
          <w:rFonts w:ascii="Arial" w:cs="Arial" w:eastAsia="Arial" w:hAnsi="Arial"/>
          <w:sz w:val="22"/>
          <w:szCs w:val="22"/>
          <w:color w:val="auto"/>
        </w:rPr>
        <w:t>. If a Participant terminates employment due to Disability or Normal Retirement, then:</w:t>
      </w:r>
    </w:p>
    <w:p>
      <w:pPr>
        <w:spacing w:after="0" w:line="244" w:lineRule="exact"/>
        <w:rPr>
          <w:rFonts w:ascii="Arial" w:cs="Arial" w:eastAsia="Arial" w:hAnsi="Arial"/>
          <w:sz w:val="22"/>
          <w:szCs w:val="22"/>
          <w:color w:val="auto"/>
        </w:rPr>
      </w:pPr>
    </w:p>
    <w:p>
      <w:pPr>
        <w:jc w:val="both"/>
        <w:ind w:left="1520" w:hanging="540"/>
        <w:spacing w:after="0" w:line="246" w:lineRule="auto"/>
        <w:tabs>
          <w:tab w:leader="none" w:pos="1520" w:val="left"/>
        </w:tabs>
        <w:numPr>
          <w:ilvl w:val="1"/>
          <w:numId w:val="36"/>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Matched Shares</w:t>
      </w:r>
      <w:r>
        <w:rPr>
          <w:rFonts w:ascii="Arial" w:cs="Arial" w:eastAsia="Arial" w:hAnsi="Arial"/>
          <w:sz w:val="22"/>
          <w:szCs w:val="22"/>
          <w:color w:val="auto"/>
        </w:rPr>
        <w:t xml:space="preserve"> will remain outstanding and will become vested at the Award vesting date as though the Participant had not had a termination of employment under this subsection 4.B.;</w:t>
      </w:r>
    </w:p>
    <w:p>
      <w:pPr>
        <w:spacing w:after="0" w:line="248" w:lineRule="exact"/>
        <w:rPr>
          <w:rFonts w:ascii="Arial" w:cs="Arial" w:eastAsia="Arial" w:hAnsi="Arial"/>
          <w:sz w:val="20"/>
          <w:szCs w:val="20"/>
          <w:color w:val="auto"/>
        </w:rPr>
      </w:pPr>
    </w:p>
    <w:p>
      <w:pPr>
        <w:jc w:val="both"/>
        <w:ind w:left="1520" w:hanging="540"/>
        <w:spacing w:after="0" w:line="246" w:lineRule="auto"/>
        <w:tabs>
          <w:tab w:leader="none" w:pos="1520" w:val="left"/>
        </w:tabs>
        <w:numPr>
          <w:ilvl w:val="1"/>
          <w:numId w:val="36"/>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remain outstanding and will become exercisable at the Award vesting date as though the Participant had not had a termination of employment under this subsection 4.B.; and,</w:t>
      </w:r>
    </w:p>
    <w:p>
      <w:pPr>
        <w:spacing w:after="0" w:line="248" w:lineRule="exact"/>
        <w:rPr>
          <w:rFonts w:ascii="Arial" w:cs="Arial" w:eastAsia="Arial" w:hAnsi="Arial"/>
          <w:sz w:val="20"/>
          <w:szCs w:val="20"/>
          <w:color w:val="auto"/>
        </w:rPr>
      </w:pPr>
    </w:p>
    <w:p>
      <w:pPr>
        <w:jc w:val="both"/>
        <w:ind w:left="1520" w:hanging="540"/>
        <w:spacing w:after="0" w:line="244" w:lineRule="auto"/>
        <w:tabs>
          <w:tab w:leader="none" w:pos="1520" w:val="left"/>
        </w:tabs>
        <w:numPr>
          <w:ilvl w:val="1"/>
          <w:numId w:val="36"/>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remain outstanding and will become vested at the Applicable Vesting Date as though the Participant had not had a termination of employment under this subsection 4.B. Upon vesting, such RSUs will be settled promptly, provided that if vesting occurs at an Applicable Vesting Date earlier than the Award vesting date, settlement will occur within fourteen (14) days after the Award vesting date. “</w:t>
      </w:r>
      <w:r>
        <w:rPr>
          <w:rFonts w:ascii="Arial" w:cs="Arial" w:eastAsia="Arial" w:hAnsi="Arial"/>
          <w:sz w:val="22"/>
          <w:szCs w:val="22"/>
          <w:u w:val="single" w:color="auto"/>
          <w:color w:val="auto"/>
        </w:rPr>
        <w:t>Applicable Vesting Date</w:t>
      </w:r>
      <w:r>
        <w:rPr>
          <w:rFonts w:ascii="Arial" w:cs="Arial" w:eastAsia="Arial" w:hAnsi="Arial"/>
          <w:sz w:val="22"/>
          <w:szCs w:val="22"/>
          <w:color w:val="auto"/>
        </w:rPr>
        <w:t>” means March 1 of the calendar year following the calendar year in which the Participant terminates due to Disability or Normal Retirement or, if earlier, the Award vesting date.</w:t>
      </w:r>
    </w:p>
    <w:p>
      <w:pPr>
        <w:spacing w:after="0" w:line="252" w:lineRule="exact"/>
        <w:rPr>
          <w:rFonts w:ascii="Arial" w:cs="Arial" w:eastAsia="Arial" w:hAnsi="Arial"/>
          <w:sz w:val="20"/>
          <w:szCs w:val="20"/>
          <w:color w:val="auto"/>
        </w:rPr>
      </w:pPr>
    </w:p>
    <w:p>
      <w:pPr>
        <w:ind w:left="980" w:hanging="324"/>
        <w:spacing w:after="0" w:line="249" w:lineRule="auto"/>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Termination Not for Cause or Early Retirement.</w:t>
      </w:r>
      <w:r>
        <w:rPr>
          <w:rFonts w:ascii="Arial" w:cs="Arial" w:eastAsia="Arial" w:hAnsi="Arial"/>
          <w:sz w:val="22"/>
          <w:szCs w:val="22"/>
          <w:color w:val="auto"/>
        </w:rPr>
        <w:t xml:space="preserve"> If a Participant involuntarily terminates employment not for Cause, or voluntarily terminates due to Early Retirement (as defined in the Plan), then:</w:t>
      </w:r>
    </w:p>
    <w:p>
      <w:pPr>
        <w:spacing w:after="0" w:line="244" w:lineRule="exact"/>
        <w:rPr>
          <w:rFonts w:ascii="Arial" w:cs="Arial" w:eastAsia="Arial" w:hAnsi="Arial"/>
          <w:sz w:val="22"/>
          <w:szCs w:val="22"/>
          <w:color w:val="auto"/>
        </w:rPr>
      </w:pPr>
    </w:p>
    <w:p>
      <w:pPr>
        <w:jc w:val="both"/>
        <w:ind w:left="1520" w:hanging="540"/>
        <w:spacing w:after="0" w:line="246" w:lineRule="auto"/>
        <w:tabs>
          <w:tab w:leader="none" w:pos="1520" w:val="left"/>
        </w:tabs>
        <w:numPr>
          <w:ilvl w:val="1"/>
          <w:numId w:val="36"/>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Matched Shares</w:t>
      </w:r>
      <w:r>
        <w:rPr>
          <w:rFonts w:ascii="Arial" w:cs="Arial" w:eastAsia="Arial" w:hAnsi="Arial"/>
          <w:sz w:val="22"/>
          <w:szCs w:val="22"/>
          <w:color w:val="auto"/>
        </w:rPr>
        <w:t xml:space="preserve"> will remain outstanding and will become vested at the Award vesting date as though the Participant had not had a termination of employment under this Section 4.C.;</w:t>
      </w:r>
    </w:p>
    <w:p>
      <w:pPr>
        <w:spacing w:after="0" w:line="248" w:lineRule="exact"/>
        <w:rPr>
          <w:rFonts w:ascii="Arial" w:cs="Arial" w:eastAsia="Arial" w:hAnsi="Arial"/>
          <w:sz w:val="20"/>
          <w:szCs w:val="20"/>
          <w:color w:val="auto"/>
        </w:rPr>
      </w:pPr>
    </w:p>
    <w:p>
      <w:pPr>
        <w:jc w:val="both"/>
        <w:ind w:left="1520" w:hanging="540"/>
        <w:spacing w:after="0" w:line="244" w:lineRule="auto"/>
        <w:tabs>
          <w:tab w:leader="none" w:pos="1520" w:val="left"/>
        </w:tabs>
        <w:numPr>
          <w:ilvl w:val="1"/>
          <w:numId w:val="36"/>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remain outstanding and will become exercisable at the Award vesting date as though the Participant had not had a termination of employment under this subsection 4.C. SSARs that were vested at the time of the Participant’s termination of employment and those that become vested thereafter will remain outstanding and exercisable until the expiration date of the Award grant, at which date the SSARs will cease to be exercisable and will terminate; and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619" w:right="239" w:bottom="1440" w:gutter="0" w:footer="0" w:header="0"/>
        </w:sectPr>
      </w:pPr>
    </w:p>
    <w:bookmarkStart w:id="44" w:name="page45"/>
    <w:bookmarkEnd w:id="44"/>
    <w:p>
      <w:pPr>
        <w:jc w:val="both"/>
        <w:ind w:left="1520" w:hanging="540"/>
        <w:spacing w:after="0" w:line="245" w:lineRule="auto"/>
        <w:tabs>
          <w:tab w:leader="none" w:pos="1520" w:val="left"/>
        </w:tabs>
        <w:numPr>
          <w:ilvl w:val="2"/>
          <w:numId w:val="37"/>
        </w:numPr>
        <w:rPr>
          <w:rFonts w:ascii="Arial" w:cs="Arial" w:eastAsia="Arial" w:hAnsi="Arial"/>
          <w:sz w:val="20"/>
          <w:szCs w:val="20"/>
          <w:color w:val="auto"/>
        </w:rPr>
      </w:pPr>
      <w:r>
        <w:rPr>
          <w:rFonts w:ascii="Arial" w:cs="Arial" w:eastAsia="Arial" w:hAnsi="Arial"/>
          <w:sz w:val="22"/>
          <w:szCs w:val="22"/>
          <w:color w:val="auto"/>
        </w:rPr>
        <w:t xml:space="preserve">A pro rata portion of 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remain outstanding and will become vested at the Applicable Vesting Date as though the Participant had not had such a termination of employment under this Section 4.C. Such outstanding RSUs will be promptly settled, provided that if vesting occurs at an Applicable Vesting Date earlier than the Award vesting date, settlement will occur within fourteen (14) days after the Award vesting date.</w:t>
      </w:r>
    </w:p>
    <w:p>
      <w:pPr>
        <w:spacing w:after="0" w:line="248" w:lineRule="exact"/>
        <w:rPr>
          <w:rFonts w:ascii="Arial" w:cs="Arial" w:eastAsia="Arial" w:hAnsi="Arial"/>
          <w:sz w:val="20"/>
          <w:szCs w:val="20"/>
          <w:color w:val="auto"/>
        </w:rPr>
      </w:pPr>
    </w:p>
    <w:p>
      <w:pPr>
        <w:jc w:val="both"/>
        <w:ind w:left="1520" w:hanging="540"/>
        <w:spacing w:after="0" w:line="244" w:lineRule="auto"/>
        <w:tabs>
          <w:tab w:leader="none" w:pos="1520" w:val="left"/>
        </w:tabs>
        <w:numPr>
          <w:ilvl w:val="2"/>
          <w:numId w:val="37"/>
        </w:numPr>
        <w:rPr>
          <w:rFonts w:ascii="Arial" w:cs="Arial" w:eastAsia="Arial" w:hAnsi="Arial"/>
          <w:sz w:val="20"/>
          <w:szCs w:val="20"/>
          <w:color w:val="auto"/>
        </w:rPr>
      </w:pPr>
      <w:r>
        <w:rPr>
          <w:rFonts w:ascii="Arial" w:cs="Arial" w:eastAsia="Arial" w:hAnsi="Arial"/>
          <w:sz w:val="22"/>
          <w:szCs w:val="22"/>
          <w:color w:val="auto"/>
        </w:rPr>
        <w:t xml:space="preserve">For purposes of subsections C. (1) through C. (3) above, the pro rata portion will be determined by multiplying the number of unvested Matched Shares, SSARs or RSUs, as the case may be, by a fraction with the numerator of which is </w:t>
      </w:r>
      <w:r>
        <w:rPr>
          <w:rFonts w:ascii="Arial" w:cs="Arial" w:eastAsia="Arial" w:hAnsi="Arial"/>
          <w:sz w:val="22"/>
          <w:szCs w:val="22"/>
          <w:i w:val="1"/>
          <w:iCs w:val="1"/>
          <w:color w:val="auto"/>
        </w:rPr>
        <w:t>(x)</w:t>
      </w:r>
      <w:r>
        <w:rPr>
          <w:rFonts w:ascii="Arial" w:cs="Arial" w:eastAsia="Arial" w:hAnsi="Arial"/>
          <w:sz w:val="22"/>
          <w:szCs w:val="22"/>
          <w:color w:val="auto"/>
        </w:rPr>
        <w:t xml:space="preserve"> the number of days from the Grant Date to the date of the Participant’s termination of employment and </w:t>
      </w:r>
      <w:r>
        <w:rPr>
          <w:rFonts w:ascii="Arial" w:cs="Arial" w:eastAsia="Arial" w:hAnsi="Arial"/>
          <w:sz w:val="22"/>
          <w:szCs w:val="22"/>
          <w:i w:val="1"/>
          <w:iCs w:val="1"/>
          <w:color w:val="auto"/>
        </w:rPr>
        <w:t>(y)</w:t>
      </w:r>
      <w:r>
        <w:rPr>
          <w:rFonts w:ascii="Arial" w:cs="Arial" w:eastAsia="Arial" w:hAnsi="Arial"/>
          <w:sz w:val="22"/>
          <w:szCs w:val="22"/>
          <w:color w:val="auto"/>
        </w:rPr>
        <w:t xml:space="preserve"> the denominator of which is 1,066. A Participant’s PRS, SSARs or RSUs, as the case may be, that had not vested before such termination of employment under this subsection 4.C. and which are not included in the pro rata portion subject to continued vesting will be immediately forfeited.</w:t>
      </w:r>
    </w:p>
    <w:p>
      <w:pPr>
        <w:spacing w:after="0" w:line="25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 terminates employment due to death, then:</w:t>
      </w:r>
    </w:p>
    <w:p>
      <w:pPr>
        <w:spacing w:after="0" w:line="260" w:lineRule="exact"/>
        <w:rPr>
          <w:rFonts w:ascii="Arial" w:cs="Arial" w:eastAsia="Arial" w:hAnsi="Arial"/>
          <w:sz w:val="20"/>
          <w:szCs w:val="20"/>
          <w:color w:val="auto"/>
        </w:rPr>
      </w:pPr>
    </w:p>
    <w:p>
      <w:pPr>
        <w:ind w:left="1520" w:hanging="540"/>
        <w:spacing w:after="0"/>
        <w:tabs>
          <w:tab w:leader="none" w:pos="1520" w:val="left"/>
        </w:tabs>
        <w:numPr>
          <w:ilvl w:val="2"/>
          <w:numId w:val="38"/>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Matched Shares</w:t>
      </w:r>
      <w:r>
        <w:rPr>
          <w:rFonts w:ascii="Arial" w:cs="Arial" w:eastAsia="Arial" w:hAnsi="Arial"/>
          <w:sz w:val="22"/>
          <w:szCs w:val="22"/>
          <w:color w:val="auto"/>
        </w:rPr>
        <w:t xml:space="preserve"> will become immediately vested;</w:t>
      </w:r>
    </w:p>
    <w:p>
      <w:pPr>
        <w:spacing w:after="0" w:line="260" w:lineRule="exact"/>
        <w:rPr>
          <w:rFonts w:ascii="Arial" w:cs="Arial" w:eastAsia="Arial" w:hAnsi="Arial"/>
          <w:sz w:val="20"/>
          <w:szCs w:val="20"/>
          <w:color w:val="auto"/>
        </w:rPr>
      </w:pPr>
    </w:p>
    <w:p>
      <w:pPr>
        <w:jc w:val="both"/>
        <w:ind w:left="1520" w:hanging="540"/>
        <w:spacing w:after="0" w:line="246" w:lineRule="auto"/>
        <w:tabs>
          <w:tab w:leader="none" w:pos="1520" w:val="left"/>
        </w:tabs>
        <w:numPr>
          <w:ilvl w:val="2"/>
          <w:numId w:val="38"/>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SSARs</w:t>
      </w:r>
      <w:r>
        <w:rPr>
          <w:rFonts w:ascii="Arial" w:cs="Arial" w:eastAsia="Arial" w:hAnsi="Arial"/>
          <w:sz w:val="22"/>
          <w:szCs w:val="22"/>
          <w:color w:val="auto"/>
        </w:rPr>
        <w:t xml:space="preserve"> will become immediately vested and exercisable, and all vested SSARs will remain outstanding and exercisable until the expiration date of the grant, at which date the SSARs will cease to be exercisable and will terminate; and</w:t>
      </w:r>
    </w:p>
    <w:p>
      <w:pPr>
        <w:spacing w:after="0" w:line="248" w:lineRule="exact"/>
        <w:rPr>
          <w:rFonts w:ascii="Arial" w:cs="Arial" w:eastAsia="Arial" w:hAnsi="Arial"/>
          <w:sz w:val="20"/>
          <w:szCs w:val="20"/>
          <w:color w:val="auto"/>
        </w:rPr>
      </w:pPr>
    </w:p>
    <w:p>
      <w:pPr>
        <w:ind w:left="1520" w:hanging="540"/>
        <w:spacing w:after="0"/>
        <w:tabs>
          <w:tab w:leader="none" w:pos="1520" w:val="left"/>
        </w:tabs>
        <w:numPr>
          <w:ilvl w:val="2"/>
          <w:numId w:val="38"/>
        </w:numPr>
        <w:rPr>
          <w:rFonts w:ascii="Arial" w:cs="Arial" w:eastAsia="Arial" w:hAnsi="Arial"/>
          <w:sz w:val="20"/>
          <w:szCs w:val="20"/>
          <w:color w:val="auto"/>
        </w:rPr>
      </w:pPr>
      <w:r>
        <w:rPr>
          <w:rFonts w:ascii="Arial" w:cs="Arial" w:eastAsia="Arial" w:hAnsi="Arial"/>
          <w:sz w:val="22"/>
          <w:szCs w:val="22"/>
          <w:color w:val="auto"/>
        </w:rPr>
        <w:t xml:space="preserve">All outstanding unvested </w:t>
      </w:r>
      <w:r>
        <w:rPr>
          <w:rFonts w:ascii="Arial" w:cs="Arial" w:eastAsia="Arial" w:hAnsi="Arial"/>
          <w:sz w:val="22"/>
          <w:szCs w:val="22"/>
          <w:u w:val="single" w:color="auto"/>
          <w:color w:val="auto"/>
        </w:rPr>
        <w:t>RSUs</w:t>
      </w:r>
      <w:r>
        <w:rPr>
          <w:rFonts w:ascii="Arial" w:cs="Arial" w:eastAsia="Arial" w:hAnsi="Arial"/>
          <w:sz w:val="22"/>
          <w:szCs w:val="22"/>
          <w:color w:val="auto"/>
        </w:rPr>
        <w:t xml:space="preserve"> will become immediately vested and settled.</w:t>
      </w:r>
    </w:p>
    <w:p>
      <w:pPr>
        <w:spacing w:after="0" w:line="234" w:lineRule="exact"/>
        <w:rPr>
          <w:rFonts w:ascii="Arial" w:cs="Arial" w:eastAsia="Arial" w:hAnsi="Arial"/>
          <w:sz w:val="20"/>
          <w:szCs w:val="20"/>
          <w:color w:val="auto"/>
        </w:rPr>
      </w:pPr>
    </w:p>
    <w:p>
      <w:pPr>
        <w:ind w:left="660" w:right="20" w:hanging="328"/>
        <w:spacing w:after="0" w:line="274"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9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ECP Awards shall be treated as provided in Section 9 of the Plan.</w:t>
      </w:r>
    </w:p>
    <w:p>
      <w:pPr>
        <w:spacing w:after="0" w:line="192" w:lineRule="exact"/>
        <w:rPr>
          <w:rFonts w:ascii="Arial" w:cs="Arial" w:eastAsia="Arial" w:hAnsi="Arial"/>
          <w:sz w:val="22"/>
          <w:szCs w:val="22"/>
          <w:color w:val="auto"/>
        </w:rPr>
      </w:pPr>
    </w:p>
    <w:p>
      <w:pPr>
        <w:jc w:val="both"/>
        <w:ind w:left="660" w:hanging="328"/>
        <w:spacing w:after="0" w:line="248"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Notwithstanding anything herein to the contrary, any ECP Award paid</w:t>
      </w:r>
      <w:r>
        <w:rPr>
          <w:rFonts w:ascii="Arial" w:cs="Arial" w:eastAsia="Arial" w:hAnsi="Arial"/>
          <w:sz w:val="22"/>
          <w:szCs w:val="22"/>
          <w:b w:val="1"/>
          <w:bCs w:val="1"/>
          <w:color w:val="auto"/>
        </w:rPr>
        <w:t xml:space="preserve"> </w:t>
      </w:r>
      <w:r>
        <w:rPr>
          <w:rFonts w:ascii="Arial" w:cs="Arial" w:eastAsia="Arial" w:hAnsi="Arial"/>
          <w:sz w:val="22"/>
          <w:szCs w:val="22"/>
          <w:color w:val="auto"/>
        </w:rPr>
        <w:t>or payable in connection with the ECP shall be subject to the clawback, recoupment and forfeiture provisions of Section 10 of the Plan and Section 7 of the ESP. By acknowledging the ECP Award Agreement, the Participant acknowledges that any and all ECP Awards previously granted to the Participant under Section 6 or Section 7 of the Plan prior to the Grant Date, and any other cash or Shares provided to the Participant prior to or following the Grant Date under the ECP or otherwise under the Plan, are subject to the provisions of Section 10 of the Plan and Section 7 of the ESP.</w:t>
      </w:r>
    </w:p>
    <w:p>
      <w:pPr>
        <w:spacing w:after="0" w:line="223"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ECP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ECP Award, shall be assignable, alienable, saleable,</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876" w:right="239" w:bottom="1440" w:gutter="0" w:footer="0" w:header="0"/>
        </w:sectPr>
      </w:pPr>
    </w:p>
    <w:bookmarkStart w:id="45" w:name="page46"/>
    <w:bookmarkEnd w:id="45"/>
    <w:p>
      <w:pPr>
        <w:ind w:left="660"/>
        <w:spacing w:after="0" w:line="249" w:lineRule="auto"/>
        <w:rPr>
          <w:sz w:val="20"/>
          <w:szCs w:val="20"/>
          <w:color w:val="auto"/>
        </w:rPr>
      </w:pPr>
      <w:r>
        <w:rPr>
          <w:rFonts w:ascii="Arial" w:cs="Arial" w:eastAsia="Arial" w:hAnsi="Arial"/>
          <w:sz w:val="22"/>
          <w:szCs w:val="22"/>
          <w:color w:val="auto"/>
        </w:rPr>
        <w:t>or transferable by a Participant other than by will or by the laws of descent and distribution in accordance with Section 11(b) of the Plan.</w:t>
      </w:r>
    </w:p>
    <w:p>
      <w:pPr>
        <w:spacing w:after="0" w:line="21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Administration.</w:t>
      </w:r>
    </w:p>
    <w:p>
      <w:pPr>
        <w:spacing w:after="0" w:line="219"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ECP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by the Committee or a subset of the Committee that satisfies the requirements of Section 162(m) of the Internal Revenue Code of 1986, as amended, and regulations promulgated thereunder (the “Code”) with respect to any incentive compensation subject to Code Section 162(m).</w:t>
      </w:r>
    </w:p>
    <w:p>
      <w:pPr>
        <w:spacing w:after="0" w:line="216" w:lineRule="exact"/>
        <w:rPr>
          <w:rFonts w:ascii="Arial" w:cs="Arial" w:eastAsia="Arial" w:hAnsi="Arial"/>
          <w:sz w:val="22"/>
          <w:szCs w:val="22"/>
          <w:color w:val="auto"/>
        </w:rPr>
      </w:pPr>
    </w:p>
    <w:p>
      <w:pPr>
        <w:jc w:val="both"/>
        <w:ind w:left="980" w:hanging="324"/>
        <w:spacing w:after="0" w:line="248" w:lineRule="auto"/>
        <w:tabs>
          <w:tab w:leader="none" w:pos="980"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the ECP and may adopt, amend or revoke any rule or regulation established for the proper administration of the ECP. The Committee shall have the ability to modify the ECP provisions, to the extent necessary, or delegate such authority, to accommodate any changes in law or regulations in jurisdictions in which Participants will receive ECP Awards. The Committee will oversee ECP Award calculations. All interpretations, decisions, or determinations made by the Committee pursuant to the ECP shall be final and conclusive.</w:t>
      </w:r>
    </w:p>
    <w:p>
      <w:pPr>
        <w:spacing w:after="0" w:line="223"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ECP. </w:t>
      </w:r>
      <w:r>
        <w:rPr>
          <w:rFonts w:ascii="Arial" w:cs="Arial" w:eastAsia="Arial" w:hAnsi="Arial"/>
          <w:sz w:val="22"/>
          <w:szCs w:val="22"/>
          <w:color w:val="auto"/>
        </w:rPr>
        <w:t>The Committee has the right to revise, modify, or terminate the ECP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at any time or for any reason, and the right to modify any ECP Award amount in accordance with Section 11(e) of the Plan.</w:t>
      </w:r>
    </w:p>
    <w:p>
      <w:pPr>
        <w:spacing w:after="0" w:line="210" w:lineRule="exact"/>
        <w:rPr>
          <w:rFonts w:ascii="Arial" w:cs="Arial" w:eastAsia="Arial" w:hAnsi="Arial"/>
          <w:sz w:val="22"/>
          <w:szCs w:val="22"/>
          <w:color w:val="auto"/>
        </w:rPr>
      </w:pPr>
    </w:p>
    <w:p>
      <w:pPr>
        <w:jc w:val="both"/>
        <w:ind w:left="660" w:hanging="328"/>
        <w:spacing w:after="0" w:line="249"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ECP Award or these ECP Terms and Conditions in accordance with Section 11(d) of the Plan. The Participant acknowledges the Company is authorized to withhold taxes due, or potentially payable in connection with any ECP Award Payment in accordance with Section 11(d) of the Plan. Further, the Participant agrees to any deduction or setoff by the Company as provided under Section 11(f) of the Plan.</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Compliance with Code Section 409A</w:t>
      </w:r>
      <w:r>
        <w:rPr>
          <w:rFonts w:ascii="Arial" w:cs="Arial" w:eastAsia="Arial" w:hAnsi="Arial"/>
          <w:sz w:val="22"/>
          <w:szCs w:val="22"/>
          <w:color w:val="auto"/>
        </w:rPr>
        <w:t>. Section 11(j) of the Plan is hereby incorporated by reference.</w:t>
      </w:r>
    </w:p>
    <w:p>
      <w:pPr>
        <w:spacing w:after="0" w:line="26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ECP Award or these ECP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ECP Award or these ECP Terms and Conditions. These ECP Terms and Conditions shall apply to and bind the Participant and the Company and their respective permitted assignees and transferees, heirs, legatees, executors, administrators and legal successors.</w:t>
      </w:r>
    </w:p>
    <w:p>
      <w:pPr>
        <w:spacing w:after="0" w:line="149"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Dispute Resolution</w:t>
      </w:r>
      <w:r>
        <w:rPr>
          <w:rFonts w:ascii="Arial" w:cs="Arial" w:eastAsia="Arial" w:hAnsi="Arial"/>
          <w:sz w:val="22"/>
          <w:szCs w:val="22"/>
          <w:color w:val="auto"/>
        </w:rPr>
        <w:t>. These ECP Terms and Conditions, the ECP Award Agreement and the Plan constitute the</w:t>
      </w:r>
      <w:r>
        <w:rPr>
          <w:rFonts w:ascii="Arial" w:cs="Arial" w:eastAsia="Arial" w:hAnsi="Arial"/>
          <w:sz w:val="22"/>
          <w:szCs w:val="22"/>
          <w:b w:val="1"/>
          <w:bCs w:val="1"/>
          <w:color w:val="auto"/>
        </w:rPr>
        <w:t xml:space="preserve"> </w:t>
      </w:r>
      <w:r>
        <w:rPr>
          <w:rFonts w:ascii="Arial" w:cs="Arial" w:eastAsia="Arial" w:hAnsi="Arial"/>
          <w:sz w:val="22"/>
          <w:szCs w:val="22"/>
          <w:color w:val="auto"/>
        </w:rPr>
        <w:t>entire agreement of the parties with respect to the subject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619" w:right="239" w:bottom="1440" w:gutter="0" w:footer="0" w:header="0"/>
        </w:sectPr>
      </w:pPr>
    </w:p>
    <w:bookmarkStart w:id="46" w:name="page47"/>
    <w:bookmarkEnd w:id="46"/>
    <w:p>
      <w:pPr>
        <w:ind w:left="660" w:right="20"/>
        <w:spacing w:after="0" w:line="249" w:lineRule="auto"/>
        <w:rPr>
          <w:sz w:val="20"/>
          <w:szCs w:val="20"/>
          <w:color w:val="auto"/>
        </w:rPr>
      </w:pPr>
      <w:r>
        <w:rPr>
          <w:rFonts w:ascii="Arial" w:cs="Arial" w:eastAsia="Arial" w:hAnsi="Arial"/>
          <w:sz w:val="22"/>
          <w:szCs w:val="22"/>
          <w:color w:val="auto"/>
        </w:rPr>
        <w:t>matter hereof and supersede in their entirety all prior undertakings and agreements of the Company and the Participant with respect to the subject matter hereof.</w:t>
      </w:r>
    </w:p>
    <w:p>
      <w:pPr>
        <w:spacing w:after="0" w:line="219" w:lineRule="exact"/>
        <w:rPr>
          <w:sz w:val="20"/>
          <w:szCs w:val="20"/>
          <w:color w:val="auto"/>
        </w:rPr>
      </w:pPr>
    </w:p>
    <w:p>
      <w:pPr>
        <w:ind w:left="660" w:right="20" w:hanging="328"/>
        <w:spacing w:after="0" w:line="274"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11(k) of the Plan.</w:t>
      </w:r>
    </w:p>
    <w:p>
      <w:pPr>
        <w:spacing w:after="0" w:line="192" w:lineRule="exact"/>
        <w:rPr>
          <w:rFonts w:ascii="Arial" w:cs="Arial" w:eastAsia="Arial" w:hAnsi="Arial"/>
          <w:sz w:val="22"/>
          <w:szCs w:val="22"/>
          <w:color w:val="auto"/>
        </w:rPr>
      </w:pPr>
    </w:p>
    <w:p>
      <w:pPr>
        <w:jc w:val="both"/>
        <w:ind w:left="660" w:hanging="328"/>
        <w:spacing w:after="0" w:line="269" w:lineRule="auto"/>
        <w:tabs>
          <w:tab w:leader="none" w:pos="660"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Company may, in its sole discretion, deliver any documents related to this ECP Award</w:t>
      </w:r>
      <w:r>
        <w:rPr>
          <w:rFonts w:ascii="Arial" w:cs="Arial" w:eastAsia="Arial" w:hAnsi="Arial"/>
          <w:sz w:val="21"/>
          <w:szCs w:val="21"/>
          <w:b w:val="1"/>
          <w:bCs w:val="1"/>
          <w:color w:val="auto"/>
        </w:rPr>
        <w:t xml:space="preserve"> </w:t>
      </w:r>
      <w:r>
        <w:rPr>
          <w:rFonts w:ascii="Arial" w:cs="Arial" w:eastAsia="Arial" w:hAnsi="Arial"/>
          <w:sz w:val="21"/>
          <w:szCs w:val="21"/>
          <w:color w:val="auto"/>
        </w:rPr>
        <w:t>or ECP Award Agreement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00" w:lineRule="exact"/>
        <w:rPr>
          <w:rFonts w:ascii="Arial" w:cs="Arial" w:eastAsia="Arial" w:hAnsi="Arial"/>
          <w:sz w:val="21"/>
          <w:szCs w:val="21"/>
          <w:color w:val="auto"/>
        </w:rPr>
      </w:pPr>
    </w:p>
    <w:p>
      <w:pPr>
        <w:jc w:val="both"/>
        <w:ind w:left="660" w:hanging="328"/>
        <w:spacing w:after="0" w:line="258"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ECP Award Agreement and the ECP Terms and Conditions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of the United States without regard to principles of conflict of law.</w:t>
      </w:r>
    </w:p>
    <w:p>
      <w:pPr>
        <w:spacing w:after="0" w:line="210" w:lineRule="exact"/>
        <w:rPr>
          <w:rFonts w:ascii="Arial" w:cs="Arial" w:eastAsia="Arial" w:hAnsi="Arial"/>
          <w:sz w:val="22"/>
          <w:szCs w:val="22"/>
          <w:color w:val="auto"/>
        </w:rPr>
      </w:pPr>
    </w:p>
    <w:p>
      <w:pPr>
        <w:jc w:val="both"/>
        <w:ind w:left="660" w:hanging="328"/>
        <w:spacing w:after="0" w:line="257" w:lineRule="auto"/>
        <w:tabs>
          <w:tab w:leader="none" w:pos="660"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Consent for Data Transfer</w:t>
      </w:r>
      <w:r>
        <w:rPr>
          <w:rFonts w:ascii="Arial" w:cs="Arial" w:eastAsia="Arial" w:hAnsi="Arial"/>
          <w:sz w:val="21"/>
          <w:szCs w:val="21"/>
          <w:color w:val="auto"/>
        </w:rPr>
        <w:t>. By accepting this ECP Agreement, the Participant voluntarily acknowledges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or directorships held in the Company, and details of all options or any other entitlement to Shares awarded, canceled, purchased, vested, unvested or outstanding in Participant’s favor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other equity of the Company on Participant’s behalf to a broker or other third party with whom Participant may elect to deposit any Shares or equity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2" w:lineRule="exact"/>
        <w:rPr>
          <w:rFonts w:ascii="Arial" w:cs="Arial" w:eastAsia="Arial" w:hAnsi="Arial"/>
          <w:sz w:val="21"/>
          <w:szCs w:val="21"/>
          <w:color w:val="auto"/>
        </w:rPr>
      </w:pPr>
    </w:p>
    <w:p>
      <w:pPr>
        <w:jc w:val="both"/>
        <w:ind w:left="660" w:hanging="328"/>
        <w:spacing w:after="0" w:line="253"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ECP Terms and Conditions to the contrary, the PSRs,</w:t>
      </w:r>
      <w:r>
        <w:rPr>
          <w:rFonts w:ascii="Arial" w:cs="Arial" w:eastAsia="Arial" w:hAnsi="Arial"/>
          <w:sz w:val="22"/>
          <w:szCs w:val="22"/>
          <w:b w:val="1"/>
          <w:bCs w:val="1"/>
          <w:color w:val="auto"/>
        </w:rPr>
        <w:t xml:space="preserve"> </w:t>
      </w:r>
      <w:r>
        <w:rPr>
          <w:rFonts w:ascii="Arial" w:cs="Arial" w:eastAsia="Arial" w:hAnsi="Arial"/>
          <w:sz w:val="22"/>
          <w:szCs w:val="22"/>
          <w:color w:val="auto"/>
        </w:rPr>
        <w:t>SSARs and RSUs shall be subject to any special terms and conditions for Participant’s country of residence (and country of employment, if different) set forth in an addendum to these ECP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and/or</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619" w:right="239" w:bottom="1440" w:gutter="0" w:footer="0" w:header="0"/>
        </w:sectPr>
      </w:pPr>
    </w:p>
    <w:bookmarkStart w:id="47" w:name="page48"/>
    <w:bookmarkEnd w:id="47"/>
    <w:p>
      <w:pPr>
        <w:jc w:val="both"/>
        <w:ind w:left="660"/>
        <w:spacing w:after="0" w:line="244" w:lineRule="auto"/>
        <w:rPr>
          <w:sz w:val="20"/>
          <w:szCs w:val="20"/>
          <w:color w:val="auto"/>
        </w:rPr>
      </w:pPr>
      <w:r>
        <w:rPr>
          <w:rFonts w:ascii="Arial" w:cs="Arial" w:eastAsia="Arial" w:hAnsi="Arial"/>
          <w:sz w:val="22"/>
          <w:szCs w:val="22"/>
          <w:color w:val="auto"/>
        </w:rPr>
        <w:t>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PSRs, SSARs and RSUs and the Plan (or the Company may establish alternative terms and conditions as may be necessary or advisable to accommodate Participant’s transfer). Any applicable Addendum shall constitute part of these ECP Terms and Conditions.</w:t>
      </w:r>
    </w:p>
    <w:p>
      <w:pPr>
        <w:spacing w:after="0" w:line="187" w:lineRule="exact"/>
        <w:rPr>
          <w:sz w:val="20"/>
          <w:szCs w:val="20"/>
          <w:color w:val="auto"/>
        </w:rPr>
      </w:pPr>
    </w:p>
    <w:p>
      <w:pPr>
        <w:jc w:val="both"/>
        <w:ind w:left="660" w:hanging="328"/>
        <w:spacing w:after="0" w:line="251"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Private Placement. </w:t>
      </w:r>
      <w:r>
        <w:rPr>
          <w:rFonts w:ascii="Arial" w:cs="Arial" w:eastAsia="Arial" w:hAnsi="Arial"/>
          <w:sz w:val="22"/>
          <w:szCs w:val="22"/>
          <w:color w:val="auto"/>
        </w:rPr>
        <w:t>The grant of PSRs, SSARs and RSUs is not intended to be a public offering of securities in</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country of residence (and country of employment, if different). The Company has not submitted any registration statement, prospectus or other filings with the local securities authorities (unless otherwise required under local law), and the grant of the PSRs, SSARs and RSUs is not subject to the supervision of the local securities authorities.</w:t>
      </w:r>
    </w:p>
    <w:p>
      <w:pPr>
        <w:spacing w:after="0" w:line="216"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these ECP Terms and Conditions or the ECP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International Flavors &amp; Fragrances Inc.</w:t>
      </w:r>
    </w:p>
    <w:p>
      <w:pPr>
        <w:ind w:left="1300"/>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619" w:right="239" w:bottom="1440" w:gutter="0" w:footer="0" w:header="0"/>
        </w:sectPr>
      </w:pPr>
    </w:p>
    <w:bookmarkStart w:id="48" w:name="page49"/>
    <w:bookmarkEnd w:id="48"/>
    <w:p>
      <w:pPr>
        <w:jc w:val="right"/>
        <w:ind w:right="20"/>
        <w:spacing w:after="0"/>
        <w:rPr>
          <w:sz w:val="20"/>
          <w:szCs w:val="20"/>
          <w:color w:val="auto"/>
        </w:rPr>
      </w:pPr>
      <w:r>
        <w:rPr>
          <w:rFonts w:ascii="Arial" w:cs="Arial" w:eastAsia="Arial" w:hAnsi="Arial"/>
          <w:sz w:val="22"/>
          <w:szCs w:val="22"/>
          <w:color w:val="A6A6A6"/>
        </w:rPr>
        <w:t>EXHIBIT 10.3</w:t>
      </w:r>
    </w:p>
    <w:p>
      <w:pPr>
        <w:spacing w:after="0" w:line="4" w:lineRule="exact"/>
        <w:rPr>
          <w:sz w:val="20"/>
          <w:szCs w:val="20"/>
          <w:color w:val="auto"/>
        </w:rPr>
      </w:pPr>
    </w:p>
    <w:p>
      <w:pPr>
        <w:jc w:val="center"/>
        <w:spacing w:after="0" w:line="246" w:lineRule="auto"/>
        <w:rPr>
          <w:sz w:val="20"/>
          <w:szCs w:val="20"/>
          <w:color w:val="auto"/>
        </w:rPr>
      </w:pPr>
      <w:r>
        <w:rPr>
          <w:rFonts w:ascii="Arial" w:cs="Arial" w:eastAsia="Arial" w:hAnsi="Arial"/>
          <w:sz w:val="22"/>
          <w:szCs w:val="22"/>
          <w:b w:val="1"/>
          <w:bCs w:val="1"/>
          <w:color w:val="auto"/>
        </w:rPr>
        <w:t>INTERNATIONAL FLAVORS &amp; FRAGRANCES INC. RESTRICTED STOCK UNITS (“</w:t>
      </w:r>
      <w:r>
        <w:rPr>
          <w:rFonts w:ascii="Arial" w:cs="Arial" w:eastAsia="Arial" w:hAnsi="Arial"/>
          <w:sz w:val="22"/>
          <w:szCs w:val="22"/>
          <w:b w:val="1"/>
          <w:bCs w:val="1"/>
          <w:u w:val="single" w:color="auto"/>
          <w:color w:val="auto"/>
        </w:rPr>
        <w:t>RSU”)</w:t>
      </w:r>
      <w:r>
        <w:rPr>
          <w:rFonts w:ascii="Arial" w:cs="Arial" w:eastAsia="Arial" w:hAnsi="Arial"/>
          <w:sz w:val="22"/>
          <w:szCs w:val="22"/>
          <w:b w:val="1"/>
          <w:bCs w:val="1"/>
          <w:color w:val="auto"/>
        </w:rPr>
        <w:t xml:space="preserve"> AWARD AGREEMENT (the “</w:t>
      </w:r>
      <w:r>
        <w:rPr>
          <w:rFonts w:ascii="Arial" w:cs="Arial" w:eastAsia="Arial" w:hAnsi="Arial"/>
          <w:sz w:val="22"/>
          <w:szCs w:val="22"/>
          <w:b w:val="1"/>
          <w:bCs w:val="1"/>
          <w:u w:val="single" w:color="auto"/>
          <w:color w:val="auto"/>
        </w:rPr>
        <w:t>RSU AWARD AGREEMENT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362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Hernan Vaisman</w:t>
      </w:r>
      <w:r>
        <w:rPr>
          <w:sz w:val="20"/>
          <w:szCs w:val="20"/>
          <w:color w:val="auto"/>
        </w:rPr>
        <w:tab/>
      </w:r>
      <w:r>
        <w:rPr>
          <w:rFonts w:ascii="Arial" w:cs="Arial" w:eastAsia="Arial" w:hAnsi="Arial"/>
          <w:sz w:val="18"/>
          <w:szCs w:val="18"/>
          <w:b w:val="1"/>
          <w:bCs w:val="1"/>
          <w:color w:val="auto"/>
        </w:rPr>
        <w:t>Job Level</w:t>
      </w:r>
      <w:r>
        <w:rPr>
          <w:rFonts w:ascii="Arial" w:cs="Arial" w:eastAsia="Arial" w:hAnsi="Arial"/>
          <w:sz w:val="18"/>
          <w:szCs w:val="18"/>
          <w:color w:val="auto"/>
        </w:rPr>
        <w:t>: 11</w:t>
      </w:r>
    </w:p>
    <w:p>
      <w:pPr>
        <w:spacing w:after="0" w:line="157" w:lineRule="exact"/>
        <w:rPr>
          <w:sz w:val="20"/>
          <w:szCs w:val="20"/>
          <w:color w:val="auto"/>
        </w:rPr>
      </w:pPr>
    </w:p>
    <w:p>
      <w:pPr>
        <w:spacing w:after="0"/>
        <w:tabs>
          <w:tab w:leader="none" w:pos="440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Flavors/New York</w:t>
      </w:r>
      <w:r>
        <w:rPr>
          <w:sz w:val="20"/>
          <w:szCs w:val="20"/>
          <w:color w:val="auto"/>
        </w:rPr>
        <w:tab/>
      </w:r>
      <w:r>
        <w:rPr>
          <w:rFonts w:ascii="Arial" w:cs="Arial" w:eastAsia="Arial" w:hAnsi="Arial"/>
          <w:sz w:val="19"/>
          <w:szCs w:val="19"/>
          <w:b w:val="1"/>
          <w:bCs w:val="1"/>
          <w:color w:val="auto"/>
        </w:rPr>
        <w:t>Position</w:t>
      </w:r>
      <w:r>
        <w:rPr>
          <w:rFonts w:ascii="Arial" w:cs="Arial" w:eastAsia="Arial" w:hAnsi="Arial"/>
          <w:sz w:val="19"/>
          <w:szCs w:val="19"/>
          <w:color w:val="auto"/>
        </w:rPr>
        <w:t>: Group President, Flavors</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This RSU Award Agreement, dated as of March 6, 2014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Hernan Vaisman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2010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6 of the Plan, Participant has been granted an RSU Award, as described below (the “</w:t>
      </w:r>
      <w:r>
        <w:rPr>
          <w:rFonts w:ascii="Arial" w:cs="Arial" w:eastAsia="Arial" w:hAnsi="Arial"/>
          <w:sz w:val="18"/>
          <w:szCs w:val="18"/>
          <w:b w:val="1"/>
          <w:bCs w:val="1"/>
          <w:u w:val="single" w:color="auto"/>
          <w:color w:val="auto"/>
        </w:rPr>
        <w:t>RSU Award</w:t>
      </w:r>
      <w:r>
        <w:rPr>
          <w:rFonts w:ascii="Arial" w:cs="Arial" w:eastAsia="Arial" w:hAnsi="Arial"/>
          <w:sz w:val="20"/>
          <w:szCs w:val="20"/>
          <w:color w:val="auto"/>
        </w:rPr>
        <w:t>”) subject to the Participant’s acceptance of the attached RSU Terms and Conditions and the Plan, both of which are made a part hereof and are incorporated herein by reference.</w:t>
      </w:r>
    </w:p>
    <w:p>
      <w:pPr>
        <w:spacing w:after="0" w:line="200" w:lineRule="exact"/>
        <w:rPr>
          <w:sz w:val="20"/>
          <w:szCs w:val="20"/>
          <w:color w:val="auto"/>
        </w:rPr>
      </w:pPr>
    </w:p>
    <w:p>
      <w:pPr>
        <w:spacing w:after="0" w:line="379" w:lineRule="exact"/>
        <w:rPr>
          <w:sz w:val="20"/>
          <w:szCs w:val="20"/>
          <w:color w:val="auto"/>
        </w:rPr>
      </w:pPr>
    </w:p>
    <w:tbl>
      <w:tblPr>
        <w:tblLayout w:type="fixed"/>
        <w:tblInd w:w="90" w:type="dxa"/>
        <w:tblCellMar>
          <w:top w:w="0" w:type="dxa"/>
          <w:left w:w="0" w:type="dxa"/>
          <w:bottom w:w="0" w:type="dxa"/>
          <w:right w:w="0" w:type="dxa"/>
        </w:tblCellMar>
      </w:tblPr>
      <w:tr>
        <w:trPr>
          <w:trHeight w:val="289"/>
        </w:trPr>
        <w:tc>
          <w:tcPr>
            <w:tcW w:w="1160" w:type="dxa"/>
            <w:vAlign w:val="bottom"/>
            <w:tcBorders>
              <w:top w:val="single" w:sz="8" w:color="auto"/>
              <w:left w:val="single" w:sz="8" w:color="auto"/>
              <w:bottom w:val="single" w:sz="8" w:color="EEECE1"/>
              <w:right w:val="single" w:sz="8" w:color="EEECE1"/>
            </w:tcBorders>
            <w:shd w:val="clear" w:color="auto" w:fill="EEECE1"/>
          </w:tcPr>
          <w:p>
            <w:pPr>
              <w:spacing w:after="0"/>
              <w:rPr>
                <w:sz w:val="24"/>
                <w:szCs w:val="24"/>
                <w:color w:val="auto"/>
              </w:rPr>
            </w:pPr>
          </w:p>
        </w:tc>
        <w:tc>
          <w:tcPr>
            <w:tcW w:w="1700" w:type="dxa"/>
            <w:vAlign w:val="bottom"/>
            <w:tcBorders>
              <w:top w:val="single" w:sz="8" w:color="auto"/>
              <w:bottom w:val="single" w:sz="8" w:color="EEECE1"/>
              <w:right w:val="single" w:sz="8" w:color="auto"/>
            </w:tcBorders>
            <w:shd w:val="clear" w:color="auto" w:fill="EEECE1"/>
          </w:tcPr>
          <w:p>
            <w:pPr>
              <w:spacing w:after="0"/>
              <w:rPr>
                <w:sz w:val="24"/>
                <w:szCs w:val="24"/>
                <w:color w:val="auto"/>
              </w:rPr>
            </w:pPr>
          </w:p>
        </w:tc>
        <w:tc>
          <w:tcPr>
            <w:tcW w:w="1600" w:type="dxa"/>
            <w:vAlign w:val="bottom"/>
            <w:tcBorders>
              <w:top w:val="single" w:sz="8" w:color="auto"/>
              <w:bottom w:val="single" w:sz="8" w:color="EEECE1"/>
              <w:right w:val="single" w:sz="8" w:color="auto"/>
            </w:tcBorders>
            <w:shd w:val="clear" w:color="auto" w:fill="EEECE1"/>
          </w:tcPr>
          <w:p>
            <w:pPr>
              <w:spacing w:after="0"/>
              <w:rPr>
                <w:sz w:val="24"/>
                <w:szCs w:val="24"/>
                <w:color w:val="auto"/>
              </w:rPr>
            </w:pPr>
          </w:p>
        </w:tc>
        <w:tc>
          <w:tcPr>
            <w:tcW w:w="1940" w:type="dxa"/>
            <w:vAlign w:val="bottom"/>
            <w:tcBorders>
              <w:top w:val="single" w:sz="8" w:color="auto"/>
              <w:bottom w:val="single" w:sz="8" w:color="EEECE1"/>
              <w:right w:val="single" w:sz="8" w:color="EEECE1"/>
            </w:tcBorders>
            <w:shd w:val="clear" w:color="auto" w:fill="EEECE1"/>
          </w:tcPr>
          <w:p>
            <w:pPr>
              <w:spacing w:after="0"/>
              <w:rPr>
                <w:sz w:val="24"/>
                <w:szCs w:val="24"/>
                <w:color w:val="auto"/>
              </w:rPr>
            </w:pPr>
          </w:p>
        </w:tc>
        <w:tc>
          <w:tcPr>
            <w:tcW w:w="4960" w:type="dxa"/>
            <w:vAlign w:val="bottom"/>
            <w:tcBorders>
              <w:top w:val="single" w:sz="8" w:color="auto"/>
              <w:bottom w:val="single" w:sz="8" w:color="EEECE1"/>
              <w:right w:val="single" w:sz="8" w:color="auto"/>
            </w:tcBorders>
            <w:gridSpan w:val="2"/>
            <w:shd w:val="clear" w:color="auto" w:fill="EEECE1"/>
          </w:tcPr>
          <w:p>
            <w:pPr>
              <w:ind w:left="480"/>
              <w:spacing w:after="0"/>
              <w:rPr>
                <w:sz w:val="20"/>
                <w:szCs w:val="20"/>
                <w:color w:val="auto"/>
              </w:rPr>
            </w:pPr>
            <w:r>
              <w:rPr>
                <w:rFonts w:ascii="Arial" w:cs="Arial" w:eastAsia="Arial" w:hAnsi="Arial"/>
                <w:sz w:val="18"/>
                <w:szCs w:val="18"/>
                <w:b w:val="1"/>
                <w:bCs w:val="1"/>
                <w:color w:val="auto"/>
              </w:rPr>
              <w:t>RSU Award Information</w:t>
            </w:r>
          </w:p>
        </w:tc>
      </w:tr>
      <w:tr>
        <w:trPr>
          <w:trHeight w:val="200"/>
        </w:trPr>
        <w:tc>
          <w:tcPr>
            <w:tcW w:w="1160" w:type="dxa"/>
            <w:vAlign w:val="bottom"/>
            <w:tcBorders>
              <w:top w:val="single" w:sz="8" w:color="auto"/>
              <w:left w:val="single" w:sz="8" w:color="auto"/>
              <w:right w:val="single" w:sz="8" w:color="auto"/>
            </w:tcBorders>
            <w:shd w:val="clear" w:color="auto" w:fill="EEECE1"/>
          </w:tcPr>
          <w:p>
            <w:pPr>
              <w:jc w:val="center"/>
              <w:spacing w:after="0" w:line="201" w:lineRule="exact"/>
              <w:rPr>
                <w:sz w:val="20"/>
                <w:szCs w:val="20"/>
                <w:color w:val="auto"/>
              </w:rPr>
            </w:pPr>
            <w:r>
              <w:rPr>
                <w:rFonts w:ascii="Arial" w:cs="Arial" w:eastAsia="Arial" w:hAnsi="Arial"/>
                <w:sz w:val="18"/>
                <w:szCs w:val="18"/>
                <w:b w:val="1"/>
                <w:bCs w:val="1"/>
                <w:color w:val="auto"/>
                <w:w w:val="99"/>
              </w:rPr>
              <w:t>Grant Date</w:t>
            </w:r>
          </w:p>
        </w:tc>
        <w:tc>
          <w:tcPr>
            <w:tcW w:w="1700" w:type="dxa"/>
            <w:vAlign w:val="bottom"/>
            <w:tcBorders>
              <w:top w:val="single" w:sz="8" w:color="auto"/>
              <w:right w:val="single" w:sz="8" w:color="auto"/>
            </w:tcBorders>
            <w:shd w:val="clear" w:color="auto" w:fill="EEECE1"/>
          </w:tcPr>
          <w:p>
            <w:pPr>
              <w:jc w:val="center"/>
              <w:spacing w:after="0" w:line="201" w:lineRule="exact"/>
              <w:rPr>
                <w:sz w:val="20"/>
                <w:szCs w:val="20"/>
                <w:color w:val="auto"/>
              </w:rPr>
            </w:pPr>
            <w:r>
              <w:rPr>
                <w:rFonts w:ascii="Arial" w:cs="Arial" w:eastAsia="Arial" w:hAnsi="Arial"/>
                <w:sz w:val="18"/>
                <w:szCs w:val="18"/>
                <w:b w:val="1"/>
                <w:bCs w:val="1"/>
                <w:color w:val="auto"/>
                <w:w w:val="97"/>
              </w:rPr>
              <w:t>Award Value on</w:t>
            </w:r>
          </w:p>
        </w:tc>
        <w:tc>
          <w:tcPr>
            <w:tcW w:w="1600" w:type="dxa"/>
            <w:vAlign w:val="bottom"/>
            <w:tcBorders>
              <w:top w:val="single" w:sz="8" w:color="auto"/>
              <w:right w:val="single" w:sz="8" w:color="auto"/>
            </w:tcBorders>
            <w:shd w:val="clear" w:color="auto" w:fill="EEECE1"/>
          </w:tcPr>
          <w:p>
            <w:pPr>
              <w:jc w:val="center"/>
              <w:spacing w:after="0" w:line="201" w:lineRule="exact"/>
              <w:rPr>
                <w:sz w:val="20"/>
                <w:szCs w:val="20"/>
                <w:color w:val="auto"/>
              </w:rPr>
            </w:pPr>
            <w:r>
              <w:rPr>
                <w:rFonts w:ascii="Arial" w:cs="Arial" w:eastAsia="Arial" w:hAnsi="Arial"/>
                <w:sz w:val="18"/>
                <w:szCs w:val="18"/>
                <w:b w:val="1"/>
                <w:bCs w:val="1"/>
                <w:color w:val="auto"/>
                <w:w w:val="99"/>
              </w:rPr>
              <w:t>Number of RSUs</w:t>
            </w:r>
          </w:p>
        </w:tc>
        <w:tc>
          <w:tcPr>
            <w:tcW w:w="1940" w:type="dxa"/>
            <w:vAlign w:val="bottom"/>
            <w:tcBorders>
              <w:top w:val="single" w:sz="8" w:color="auto"/>
              <w:right w:val="single" w:sz="8" w:color="auto"/>
            </w:tcBorders>
            <w:shd w:val="clear" w:color="auto" w:fill="EEECE1"/>
          </w:tcPr>
          <w:p>
            <w:pPr>
              <w:jc w:val="center"/>
              <w:spacing w:after="0" w:line="201" w:lineRule="exact"/>
              <w:rPr>
                <w:sz w:val="20"/>
                <w:szCs w:val="20"/>
                <w:color w:val="auto"/>
              </w:rPr>
            </w:pPr>
            <w:r>
              <w:rPr>
                <w:rFonts w:ascii="Arial" w:cs="Arial" w:eastAsia="Arial" w:hAnsi="Arial"/>
                <w:sz w:val="18"/>
                <w:szCs w:val="18"/>
                <w:b w:val="1"/>
                <w:bCs w:val="1"/>
                <w:color w:val="auto"/>
                <w:w w:val="99"/>
              </w:rPr>
              <w:t>Closing Share Price</w:t>
            </w:r>
          </w:p>
        </w:tc>
        <w:tc>
          <w:tcPr>
            <w:tcW w:w="1800" w:type="dxa"/>
            <w:vAlign w:val="bottom"/>
            <w:tcBorders>
              <w:top w:val="single" w:sz="8" w:color="auto"/>
              <w:right w:val="single" w:sz="8" w:color="auto"/>
            </w:tcBorders>
            <w:shd w:val="clear" w:color="auto" w:fill="EEECE1"/>
          </w:tcPr>
          <w:p>
            <w:pPr>
              <w:jc w:val="center"/>
              <w:spacing w:after="0" w:line="201" w:lineRule="exact"/>
              <w:rPr>
                <w:sz w:val="20"/>
                <w:szCs w:val="20"/>
                <w:color w:val="auto"/>
              </w:rPr>
            </w:pPr>
            <w:r>
              <w:rPr>
                <w:rFonts w:ascii="Arial" w:cs="Arial" w:eastAsia="Arial" w:hAnsi="Arial"/>
                <w:sz w:val="18"/>
                <w:szCs w:val="18"/>
                <w:b w:val="1"/>
                <w:bCs w:val="1"/>
                <w:color w:val="auto"/>
                <w:w w:val="99"/>
              </w:rPr>
              <w:t>Vesting Date</w:t>
            </w:r>
          </w:p>
        </w:tc>
        <w:tc>
          <w:tcPr>
            <w:tcW w:w="3160" w:type="dxa"/>
            <w:vAlign w:val="bottom"/>
            <w:tcBorders>
              <w:top w:val="single" w:sz="8" w:color="auto"/>
              <w:right w:val="single" w:sz="8" w:color="auto"/>
            </w:tcBorders>
            <w:shd w:val="clear" w:color="auto" w:fill="EEECE1"/>
          </w:tcPr>
          <w:p>
            <w:pPr>
              <w:jc w:val="center"/>
              <w:spacing w:after="0" w:line="201" w:lineRule="exact"/>
              <w:rPr>
                <w:sz w:val="20"/>
                <w:szCs w:val="20"/>
                <w:color w:val="auto"/>
              </w:rPr>
            </w:pPr>
            <w:r>
              <w:rPr>
                <w:rFonts w:ascii="Arial" w:cs="Arial" w:eastAsia="Arial" w:hAnsi="Arial"/>
                <w:sz w:val="18"/>
                <w:szCs w:val="18"/>
                <w:b w:val="1"/>
                <w:bCs w:val="1"/>
                <w:color w:val="auto"/>
                <w:w w:val="99"/>
              </w:rPr>
              <w:t>Settlement of Award</w:t>
            </w:r>
          </w:p>
        </w:tc>
      </w:tr>
      <w:tr>
        <w:trPr>
          <w:trHeight w:val="239"/>
        </w:trPr>
        <w:tc>
          <w:tcPr>
            <w:tcW w:w="1160" w:type="dxa"/>
            <w:vAlign w:val="bottom"/>
            <w:tcBorders>
              <w:left w:val="single" w:sz="8" w:color="auto"/>
              <w:right w:val="single" w:sz="8" w:color="auto"/>
            </w:tcBorders>
            <w:shd w:val="clear" w:color="auto" w:fill="EEECE1"/>
          </w:tcPr>
          <w:p>
            <w:pPr>
              <w:spacing w:after="0"/>
              <w:rPr>
                <w:sz w:val="20"/>
                <w:szCs w:val="20"/>
                <w:color w:val="auto"/>
              </w:rPr>
            </w:pPr>
          </w:p>
        </w:tc>
        <w:tc>
          <w:tcPr>
            <w:tcW w:w="170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9"/>
              </w:rPr>
              <w:t>Grant Date ($US)</w:t>
            </w:r>
          </w:p>
        </w:tc>
        <w:tc>
          <w:tcPr>
            <w:tcW w:w="160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rPr>
              <w:t>Granted</w:t>
            </w:r>
          </w:p>
        </w:tc>
        <w:tc>
          <w:tcPr>
            <w:tcW w:w="194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b w:val="1"/>
                <w:bCs w:val="1"/>
                <w:color w:val="auto"/>
                <w:w w:val="99"/>
              </w:rPr>
              <w:t>on Grant Date ($US)</w:t>
            </w:r>
          </w:p>
        </w:tc>
        <w:tc>
          <w:tcPr>
            <w:tcW w:w="1800" w:type="dxa"/>
            <w:vAlign w:val="bottom"/>
            <w:tcBorders>
              <w:right w:val="single" w:sz="8" w:color="auto"/>
            </w:tcBorders>
            <w:shd w:val="clear" w:color="auto" w:fill="EEECE1"/>
          </w:tcPr>
          <w:p>
            <w:pPr>
              <w:spacing w:after="0"/>
              <w:rPr>
                <w:sz w:val="20"/>
                <w:szCs w:val="20"/>
                <w:color w:val="auto"/>
              </w:rPr>
            </w:pPr>
          </w:p>
        </w:tc>
        <w:tc>
          <w:tcPr>
            <w:tcW w:w="3160" w:type="dxa"/>
            <w:vAlign w:val="bottom"/>
            <w:tcBorders>
              <w:right w:val="single" w:sz="8" w:color="auto"/>
            </w:tcBorders>
            <w:shd w:val="clear" w:color="auto" w:fill="EEECE1"/>
          </w:tcPr>
          <w:p>
            <w:pPr>
              <w:spacing w:after="0"/>
              <w:rPr>
                <w:sz w:val="20"/>
                <w:szCs w:val="20"/>
                <w:color w:val="auto"/>
              </w:rPr>
            </w:pPr>
          </w:p>
        </w:tc>
      </w:tr>
      <w:tr>
        <w:trPr>
          <w:trHeight w:val="419"/>
        </w:trPr>
        <w:tc>
          <w:tcPr>
            <w:tcW w:w="1160" w:type="dxa"/>
            <w:vAlign w:val="bottom"/>
            <w:tcBorders>
              <w:left w:val="single" w:sz="8" w:color="auto"/>
              <w:bottom w:val="single" w:sz="8" w:color="auto"/>
              <w:right w:val="single" w:sz="8" w:color="auto"/>
            </w:tcBorders>
            <w:shd w:val="clear" w:color="auto" w:fill="EEECE1"/>
          </w:tcPr>
          <w:p>
            <w:pPr>
              <w:spacing w:after="0"/>
              <w:rPr>
                <w:sz w:val="24"/>
                <w:szCs w:val="24"/>
                <w:color w:val="auto"/>
              </w:rPr>
            </w:pPr>
          </w:p>
        </w:tc>
        <w:tc>
          <w:tcPr>
            <w:tcW w:w="1700" w:type="dxa"/>
            <w:vAlign w:val="bottom"/>
            <w:tcBorders>
              <w:bottom w:val="single" w:sz="8" w:color="auto"/>
              <w:right w:val="single" w:sz="8" w:color="auto"/>
            </w:tcBorders>
            <w:shd w:val="clear" w:color="auto" w:fill="EEECE1"/>
          </w:tcPr>
          <w:p>
            <w:pPr>
              <w:spacing w:after="0"/>
              <w:rPr>
                <w:sz w:val="24"/>
                <w:szCs w:val="24"/>
                <w:color w:val="auto"/>
              </w:rPr>
            </w:pPr>
          </w:p>
        </w:tc>
        <w:tc>
          <w:tcPr>
            <w:tcW w:w="1600" w:type="dxa"/>
            <w:vAlign w:val="bottom"/>
            <w:tcBorders>
              <w:bottom w:val="single" w:sz="8" w:color="auto"/>
              <w:right w:val="single" w:sz="8" w:color="auto"/>
            </w:tcBorders>
            <w:shd w:val="clear" w:color="auto" w:fill="EEECE1"/>
          </w:tcPr>
          <w:p>
            <w:pPr>
              <w:spacing w:after="0"/>
              <w:rPr>
                <w:sz w:val="24"/>
                <w:szCs w:val="24"/>
                <w:color w:val="auto"/>
              </w:rPr>
            </w:pPr>
          </w:p>
        </w:tc>
        <w:tc>
          <w:tcPr>
            <w:tcW w:w="1940" w:type="dxa"/>
            <w:vAlign w:val="bottom"/>
            <w:tcBorders>
              <w:bottom w:val="single" w:sz="8" w:color="auto"/>
              <w:right w:val="single" w:sz="8" w:color="auto"/>
            </w:tcBorders>
            <w:shd w:val="clear" w:color="auto" w:fill="EEECE1"/>
          </w:tcPr>
          <w:p>
            <w:pPr>
              <w:spacing w:after="0"/>
              <w:rPr>
                <w:sz w:val="24"/>
                <w:szCs w:val="24"/>
                <w:color w:val="auto"/>
              </w:rPr>
            </w:pPr>
          </w:p>
        </w:tc>
        <w:tc>
          <w:tcPr>
            <w:tcW w:w="1800" w:type="dxa"/>
            <w:vAlign w:val="bottom"/>
            <w:tcBorders>
              <w:bottom w:val="single" w:sz="8" w:color="auto"/>
              <w:right w:val="single" w:sz="8" w:color="auto"/>
            </w:tcBorders>
            <w:shd w:val="clear" w:color="auto" w:fill="EEECE1"/>
          </w:tcPr>
          <w:p>
            <w:pPr>
              <w:spacing w:after="0"/>
              <w:rPr>
                <w:sz w:val="24"/>
                <w:szCs w:val="24"/>
                <w:color w:val="auto"/>
              </w:rPr>
            </w:pPr>
          </w:p>
        </w:tc>
        <w:tc>
          <w:tcPr>
            <w:tcW w:w="3160" w:type="dxa"/>
            <w:vAlign w:val="bottom"/>
            <w:tcBorders>
              <w:bottom w:val="single" w:sz="8" w:color="auto"/>
              <w:right w:val="single" w:sz="8" w:color="auto"/>
            </w:tcBorders>
            <w:shd w:val="clear" w:color="auto" w:fill="EEECE1"/>
          </w:tcPr>
          <w:p>
            <w:pPr>
              <w:spacing w:after="0"/>
              <w:rPr>
                <w:sz w:val="24"/>
                <w:szCs w:val="24"/>
                <w:color w:val="auto"/>
              </w:rPr>
            </w:pPr>
          </w:p>
        </w:tc>
      </w:tr>
      <w:tr>
        <w:trPr>
          <w:trHeight w:val="200"/>
        </w:trPr>
        <w:tc>
          <w:tcPr>
            <w:tcW w:w="11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March 6,</w:t>
            </w:r>
          </w:p>
        </w:tc>
        <w:tc>
          <w:tcPr>
            <w:tcW w:w="1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$325,000</w:t>
            </w:r>
          </w:p>
        </w:tc>
        <w:tc>
          <w:tcPr>
            <w:tcW w:w="1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3,413</w:t>
            </w:r>
          </w:p>
        </w:tc>
        <w:tc>
          <w:tcPr>
            <w:tcW w:w="1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$95.23</w:t>
            </w:r>
          </w:p>
        </w:tc>
        <w:tc>
          <w:tcPr>
            <w:tcW w:w="18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March 6, 2015</w:t>
            </w:r>
          </w:p>
        </w:tc>
        <w:tc>
          <w:tcPr>
            <w:tcW w:w="3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Awards are settled by delivery of</w:t>
            </w:r>
          </w:p>
        </w:tc>
      </w:tr>
      <w:tr>
        <w:trPr>
          <w:trHeight w:val="203"/>
        </w:trPr>
        <w:tc>
          <w:tcPr>
            <w:tcW w:w="11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2014</w:t>
            </w:r>
          </w:p>
        </w:tc>
        <w:tc>
          <w:tcPr>
            <w:tcW w:w="17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one Share of Company Common</w:t>
            </w:r>
          </w:p>
        </w:tc>
      </w:tr>
      <w:tr>
        <w:trPr>
          <w:trHeight w:val="246"/>
        </w:trPr>
        <w:tc>
          <w:tcPr>
            <w:tcW w:w="116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Stock for each RSU being settled</w:t>
            </w:r>
          </w:p>
        </w:tc>
      </w:tr>
    </w:tbl>
    <w:p>
      <w:pPr>
        <w:spacing w:after="0" w:line="1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BY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RSU AWARD AGREEMENT OR THE RSU TERMS AND CONDITIONS.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ACCEPT</w:t>
        <w:tab/>
        <w:t>Hernan Vaisman __</w:t>
      </w:r>
      <w:r>
        <w:rPr>
          <w:rFonts w:ascii="Arial" w:cs="Arial" w:eastAsia="Arial" w:hAnsi="Arial"/>
          <w:sz w:val="20"/>
          <w:szCs w:val="20"/>
          <w:u w:val="single" w:color="auto"/>
          <w:color w:val="auto"/>
        </w:rPr>
        <w:t>/S/ Hernan Vaisman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40"/>
          </w:cols>
          <w:pgMar w:left="240" w:top="1078"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(the “</w:t>
      </w:r>
      <w:r>
        <w:rPr>
          <w:rFonts w:ascii="Arial" w:cs="Arial" w:eastAsia="Arial" w:hAnsi="Arial"/>
          <w:sz w:val="22"/>
          <w:szCs w:val="22"/>
          <w:b w:val="1"/>
          <w:bCs w:val="1"/>
          <w:u w:val="single" w:color="auto"/>
          <w:color w:val="auto"/>
        </w:rPr>
        <w:t>RSU TERMS AND CONDITIONS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These RSU Terms and Conditions, including the relevant addendum,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RSU Award Agreement made under the Plan, which is hereby incorporated by reference.</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RSU Terms and Conditions and the Plan, the provisions of the Plan shall govern.</w:t>
      </w:r>
    </w:p>
    <w:p>
      <w:pPr>
        <w:spacing w:after="0" w:line="196" w:lineRule="exact"/>
        <w:rPr>
          <w:sz w:val="20"/>
          <w:szCs w:val="20"/>
          <w:color w:val="auto"/>
        </w:rPr>
      </w:pPr>
    </w:p>
    <w:p>
      <w:pPr>
        <w:jc w:val="both"/>
        <w:ind w:left="660" w:hanging="328"/>
        <w:spacing w:after="0" w:line="258"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Amount of RSU Award</w:t>
      </w:r>
      <w:r>
        <w:rPr>
          <w:rFonts w:ascii="Arial" w:cs="Arial" w:eastAsia="Arial" w:hAnsi="Arial"/>
          <w:sz w:val="22"/>
          <w:szCs w:val="22"/>
          <w:color w:val="auto"/>
        </w:rPr>
        <w:t>. As of the Grant Date, the Participant shall be eligible to receive an RSU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RSUs specified on the first page of the RSU Award Agreement. The RSU Award provides Participant with a contractual right to receive one share of Stock for each RSU being settled upon vesting.</w:t>
      </w:r>
    </w:p>
    <w:p>
      <w:pPr>
        <w:spacing w:after="0" w:line="386"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The Participant’s eligibility for an RSU Award shall be at the discretion of the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as authorized in Section 5 of the Plan. The grant of the RSU Award is a one-time benefit and does not create any contractual or other right to receive any future RSU Award.</w:t>
      </w:r>
    </w:p>
    <w:p>
      <w:pPr>
        <w:spacing w:after="0" w:line="210"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Vesting and Account. </w:t>
      </w:r>
      <w:r>
        <w:rPr>
          <w:rFonts w:ascii="Arial" w:cs="Arial" w:eastAsia="Arial" w:hAnsi="Arial"/>
          <w:sz w:val="22"/>
          <w:szCs w:val="22"/>
          <w:color w:val="auto"/>
        </w:rPr>
        <w:t>The RSU Award vests on the date set forth on the first page of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not previously forfeited, and is 0% vested before expiration of this period Prior to vesting, the Company or its designated agent shall maintain a bookkeeping account reflecting the number of RSUs credited to the Participant’s account.</w:t>
      </w:r>
    </w:p>
    <w:p>
      <w:pPr>
        <w:spacing w:after="0" w:line="216" w:lineRule="exact"/>
        <w:rPr>
          <w:rFonts w:ascii="Arial" w:cs="Arial" w:eastAsia="Arial" w:hAnsi="Arial"/>
          <w:sz w:val="22"/>
          <w:szCs w:val="22"/>
          <w:color w:val="auto"/>
        </w:rPr>
      </w:pPr>
    </w:p>
    <w:p>
      <w:pPr>
        <w:jc w:val="both"/>
        <w:ind w:left="660" w:right="20" w:hanging="328"/>
        <w:spacing w:after="0" w:line="258" w:lineRule="auto"/>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of the Award. </w:t>
      </w:r>
      <w:r>
        <w:rPr>
          <w:rFonts w:ascii="Arial" w:cs="Arial" w:eastAsia="Arial" w:hAnsi="Arial"/>
          <w:sz w:val="22"/>
          <w:szCs w:val="22"/>
          <w:color w:val="auto"/>
        </w:rPr>
        <w:t>Upon vesting, the RSU Award will be settled by delivery of one share of Stock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Vesting Date, for each RSU being settled. Such settlement shall occur promptly on or following the vesting of each RSU.</w:t>
      </w:r>
    </w:p>
    <w:p>
      <w:pPr>
        <w:spacing w:after="0" w:line="210" w:lineRule="exact"/>
        <w:rPr>
          <w:rFonts w:ascii="Arial" w:cs="Arial" w:eastAsia="Arial" w:hAnsi="Arial"/>
          <w:sz w:val="22"/>
          <w:szCs w:val="22"/>
          <w:b w:val="1"/>
          <w:bCs w:val="1"/>
          <w:color w:val="auto"/>
        </w:rPr>
      </w:pPr>
    </w:p>
    <w:p>
      <w:pPr>
        <w:ind w:left="660" w:right="20" w:hanging="328"/>
        <w:spacing w:after="0" w:line="274" w:lineRule="auto"/>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Voting Rights and Dividends. </w:t>
      </w:r>
      <w:r>
        <w:rPr>
          <w:rFonts w:ascii="Arial" w:cs="Arial" w:eastAsia="Arial" w:hAnsi="Arial"/>
          <w:sz w:val="22"/>
          <w:szCs w:val="22"/>
          <w:color w:val="auto"/>
        </w:rPr>
        <w:t>RSUs do not provide voting or dividend rights until fully vested and no dividends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or dividend equivalents will be paid or credited on any unvested RSUs.</w:t>
      </w:r>
    </w:p>
    <w:p>
      <w:pPr>
        <w:spacing w:after="0" w:line="192" w:lineRule="exact"/>
        <w:rPr>
          <w:rFonts w:ascii="Arial" w:cs="Arial" w:eastAsia="Arial" w:hAnsi="Arial"/>
          <w:sz w:val="22"/>
          <w:szCs w:val="22"/>
          <w:b w:val="1"/>
          <w:bCs w:val="1"/>
          <w:color w:val="auto"/>
        </w:rPr>
      </w:pPr>
    </w:p>
    <w:p>
      <w:pPr>
        <w:ind w:left="660" w:right="20" w:hanging="328"/>
        <w:spacing w:after="0" w:line="298" w:lineRule="auto"/>
        <w:tabs>
          <w:tab w:leader="none" w:pos="660"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RSU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96" w:lineRule="exact"/>
        <w:rPr>
          <w:rFonts w:ascii="Arial" w:cs="Arial" w:eastAsia="Arial" w:hAnsi="Arial"/>
          <w:sz w:val="21"/>
          <w:szCs w:val="21"/>
          <w:color w:val="auto"/>
        </w:rPr>
      </w:pPr>
    </w:p>
    <w:p>
      <w:pPr>
        <w:jc w:val="both"/>
        <w:ind w:left="980" w:hanging="324"/>
        <w:spacing w:after="0" w:line="244" w:lineRule="auto"/>
        <w:tabs>
          <w:tab w:leader="none" w:pos="980"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Not for Cause</w:t>
      </w:r>
      <w:r>
        <w:rPr>
          <w:rFonts w:ascii="Arial" w:cs="Arial" w:eastAsia="Arial" w:hAnsi="Arial"/>
          <w:sz w:val="22"/>
          <w:szCs w:val="22"/>
          <w:color w:val="auto"/>
        </w:rPr>
        <w:t>. If the Participant is involuntarily terminated not for Cause, a pro-rata portion of all outstanding unvested RSUs shall remain outstanding and will become vested at the Applicable Vesting Date as though Participant had not had a termination of employment under this subsection 6(a). The pro-rata portion shall be determined by multiplying the number of unvested RSUs by a fraction, the numerator of which is (x) the number of days from the Grant Date to the Participant’s termination of employment and (y) the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52" w:right="239" w:bottom="1440" w:gutter="0" w:footer="0" w:header="0"/>
        </w:sectPr>
      </w:pPr>
    </w:p>
    <w:bookmarkStart w:id="50" w:name="page51"/>
    <w:bookmarkEnd w:id="50"/>
    <w:p>
      <w:pPr>
        <w:jc w:val="both"/>
        <w:ind w:left="980"/>
        <w:spacing w:after="0" w:line="245" w:lineRule="auto"/>
        <w:rPr>
          <w:sz w:val="20"/>
          <w:szCs w:val="20"/>
          <w:color w:val="auto"/>
        </w:rPr>
      </w:pPr>
      <w:r>
        <w:rPr>
          <w:rFonts w:ascii="Arial" w:cs="Arial" w:eastAsia="Arial" w:hAnsi="Arial"/>
          <w:sz w:val="22"/>
          <w:szCs w:val="22"/>
          <w:color w:val="auto"/>
        </w:rPr>
        <w:t>denominator of which is 1,066. A Participant’s RSUs that have not vested before such termination of employment under this subsection 6(a), and which are not included in the pro rata portion subject to continued vesting will be immediately forfeited. “</w:t>
      </w:r>
      <w:r>
        <w:rPr>
          <w:rFonts w:ascii="Arial" w:cs="Arial" w:eastAsia="Arial" w:hAnsi="Arial"/>
          <w:sz w:val="22"/>
          <w:szCs w:val="22"/>
          <w:u w:val="single" w:color="auto"/>
          <w:color w:val="auto"/>
        </w:rPr>
        <w:t>Applicable Vesting Date</w:t>
      </w:r>
      <w:r>
        <w:rPr>
          <w:rFonts w:ascii="Arial" w:cs="Arial" w:eastAsia="Arial" w:hAnsi="Arial"/>
          <w:sz w:val="22"/>
          <w:szCs w:val="22"/>
          <w:color w:val="auto"/>
        </w:rPr>
        <w:t xml:space="preserve"> ” means March 1 of the calendar year following the calendar year in which the Participant is terminated not for cause or Participant terminates due to Disability, Early Retirement or Normal Retirement or, if earlier, the Award vesting date.</w:t>
      </w:r>
    </w:p>
    <w:p>
      <w:pPr>
        <w:spacing w:after="0" w:line="248" w:lineRule="exact"/>
        <w:rPr>
          <w:sz w:val="20"/>
          <w:szCs w:val="20"/>
          <w:color w:val="auto"/>
        </w:rPr>
      </w:pPr>
    </w:p>
    <w:p>
      <w:pPr>
        <w:ind w:left="980" w:hanging="324"/>
        <w:spacing w:after="0" w:line="249" w:lineRule="auto"/>
        <w:tabs>
          <w:tab w:leader="none" w:pos="98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Resignation or Termination With Cause</w:t>
      </w:r>
      <w:r>
        <w:rPr>
          <w:rFonts w:ascii="Arial" w:cs="Arial" w:eastAsia="Arial" w:hAnsi="Arial"/>
          <w:sz w:val="22"/>
          <w:szCs w:val="22"/>
          <w:color w:val="auto"/>
        </w:rPr>
        <w:t>. If a Participant resigns, or is terminated by the Company for Cause, then all outstanding unvested RSUs will be immediately forfeited.</w:t>
      </w:r>
    </w:p>
    <w:p>
      <w:pPr>
        <w:spacing w:after="0" w:line="244" w:lineRule="exact"/>
        <w:rPr>
          <w:rFonts w:ascii="Arial" w:cs="Arial" w:eastAsia="Arial" w:hAnsi="Arial"/>
          <w:sz w:val="22"/>
          <w:szCs w:val="22"/>
          <w:color w:val="auto"/>
        </w:rPr>
      </w:pPr>
    </w:p>
    <w:p>
      <w:pPr>
        <w:jc w:val="both"/>
        <w:ind w:left="980" w:hanging="324"/>
        <w:spacing w:after="0" w:line="244" w:lineRule="auto"/>
        <w:tabs>
          <w:tab w:leader="none" w:pos="98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Early or Normal Retirement or Disability</w:t>
      </w:r>
      <w:r>
        <w:rPr>
          <w:rFonts w:ascii="Arial" w:cs="Arial" w:eastAsia="Arial" w:hAnsi="Arial"/>
          <w:sz w:val="22"/>
          <w:szCs w:val="22"/>
          <w:color w:val="auto"/>
        </w:rPr>
        <w:t>. If a Participant terminates employment due to Early Retirement, Normal Retirement or Disability, then all outstanding unvested RSUs will remain outstanding and will become vested at the Applicable Vesting Date as though the Participant had not had a termination of employment under this subsection 6(c). Upon vesting, such RSUs will be settled promptly, provided that if vesting occurs at an Applicable Vesting Date earlier than the Award vesting date, settlement will occur within fourteen (14) days after the Award vesting date.</w:t>
      </w:r>
    </w:p>
    <w:p>
      <w:pPr>
        <w:spacing w:after="0" w:line="253" w:lineRule="exact"/>
        <w:rPr>
          <w:rFonts w:ascii="Arial" w:cs="Arial" w:eastAsia="Arial" w:hAnsi="Arial"/>
          <w:sz w:val="22"/>
          <w:szCs w:val="22"/>
          <w:color w:val="auto"/>
        </w:rPr>
      </w:pPr>
    </w:p>
    <w:p>
      <w:pPr>
        <w:ind w:left="980" w:hanging="324"/>
        <w:spacing w:after="0" w:line="249" w:lineRule="auto"/>
        <w:tabs>
          <w:tab w:leader="none" w:pos="98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a Participant terminates employment due to death, then all outstanding unvested RSUs will become immediately vested.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45" w:lineRule="exact"/>
        <w:rPr>
          <w:rFonts w:ascii="Arial" w:cs="Arial" w:eastAsia="Arial" w:hAnsi="Arial"/>
          <w:sz w:val="22"/>
          <w:szCs w:val="22"/>
          <w:color w:val="auto"/>
        </w:rPr>
      </w:pPr>
    </w:p>
    <w:p>
      <w:pPr>
        <w:jc w:val="both"/>
        <w:ind w:left="660" w:hanging="328"/>
        <w:spacing w:after="0" w:line="249"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Clawback and Recoupment Provisions</w:t>
      </w:r>
      <w:r>
        <w:rPr>
          <w:rFonts w:ascii="Arial" w:cs="Arial" w:eastAsia="Arial" w:hAnsi="Arial"/>
          <w:sz w:val="22"/>
          <w:szCs w:val="22"/>
          <w:color w:val="auto"/>
        </w:rPr>
        <w:t>. The RSU Award shall be subject to the clawback, recoupment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forfeiture provisions of Section 10 of the Plan and Section 7 of the ESP. By acknowledging the RSU Award Agreement, the Participant acknowledges that any and all RSU Awards previously granted to the Participant under Section 6 or Section 7 of the Plan prior to the Grant Date, and any other cash or Stock provided to the Participant prior to or following the Grant Date under the RSU Award or otherwise under the Plan, are subject to the provisions of Section 10 of the Plan and Section 7 of the ESP.</w:t>
      </w:r>
    </w:p>
    <w:p>
      <w:pPr>
        <w:spacing w:after="0" w:line="261"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the RSU Award and any right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shall not be assignable, alienable, saleable, or transferable by the Participant other than by will or by the laws of descent and distribution in accordance with Section 11(b) of the Plan.</w:t>
      </w:r>
    </w:p>
    <w:p>
      <w:pPr>
        <w:spacing w:after="0" w:line="210"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hanging="1304"/>
        <w:spacing w:after="0" w:line="251" w:lineRule="auto"/>
        <w:tabs>
          <w:tab w:leader="none" w:pos="988" w:val="left"/>
        </w:tabs>
        <w:numPr>
          <w:ilvl w:val="1"/>
          <w:numId w:val="45"/>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administered by the Committee or a subset of the Committee that satisfies the requirements of Section 162(m) of the Internal Revenue Code of 1986, as amended, and regulations promulgated thereunder (the “Code”) with respect to any incentive compensation subject to Code Section 162(m).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78" w:right="239" w:bottom="1440" w:gutter="0" w:footer="0" w:header="0"/>
        </w:sectPr>
      </w:pPr>
    </w:p>
    <w:bookmarkStart w:id="51" w:name="page52"/>
    <w:bookmarkEnd w:id="51"/>
    <w:p>
      <w:pPr>
        <w:jc w:val="both"/>
        <w:ind w:left="1960" w:hanging="1296"/>
        <w:spacing w:after="0" w:line="247"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 determinations necessary or advisable for administration of the RSU Award and may adopt, amend or revoke any rule or regulation established for the proper administration of the RSU Award. The Committee shall have the ability to modify the RSU Award provisions, to the extent necessary, or delegate such authority, to accommodate any changes in law or regulations in jurisdictions in which Participant will receive the RSU Award. The Committee will oversee the RSU Award calculations. All interpretations, decisions, or determinations made by the Committee pursuant to the RSU Award shall be final and conclusive.</w:t>
      </w:r>
    </w:p>
    <w:p>
      <w:pPr>
        <w:spacing w:after="0" w:line="227" w:lineRule="exact"/>
        <w:rPr>
          <w:sz w:val="20"/>
          <w:szCs w:val="20"/>
          <w:color w:val="auto"/>
        </w:rPr>
      </w:pPr>
    </w:p>
    <w:p>
      <w:pPr>
        <w:jc w:val="both"/>
        <w:ind w:left="660" w:hanging="328"/>
        <w:spacing w:after="0" w:line="258"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RSU Award. </w:t>
      </w:r>
      <w:r>
        <w:rPr>
          <w:rFonts w:ascii="Arial" w:cs="Arial" w:eastAsia="Arial" w:hAnsi="Arial"/>
          <w:sz w:val="22"/>
          <w:szCs w:val="22"/>
          <w:color w:val="auto"/>
        </w:rPr>
        <w:t>The Committee has the right to revise, modify, or terminate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in whole or in part at any time or for any reason, and the right to modify the RSU Award amount in accordance with Section 11(e) of the Plan.</w:t>
      </w:r>
    </w:p>
    <w:p>
      <w:pPr>
        <w:spacing w:after="0" w:line="210" w:lineRule="exact"/>
        <w:rPr>
          <w:rFonts w:ascii="Arial" w:cs="Arial" w:eastAsia="Arial" w:hAnsi="Arial"/>
          <w:sz w:val="22"/>
          <w:szCs w:val="22"/>
          <w:color w:val="auto"/>
        </w:rPr>
      </w:pPr>
    </w:p>
    <w:p>
      <w:pPr>
        <w:jc w:val="both"/>
        <w:ind w:left="660" w:hanging="328"/>
        <w:spacing w:after="0" w:line="252"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the RSU Award or these RSU Terms and Conditions in accordance with Section 11(d) of the Plan. The Participant acknowledges the Company is authorized to withhold taxes due, or potentially payable in connection with any payment of the RSU Award in accordance with Section 11(d) of the Plan. Further, the Participant agrees to any deduction or setoff by the Company as provided under Section 11(f) of the Plan.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Compliance with Code Section 409A</w:t>
      </w:r>
      <w:r>
        <w:rPr>
          <w:rFonts w:ascii="Arial" w:cs="Arial" w:eastAsia="Arial" w:hAnsi="Arial"/>
          <w:sz w:val="22"/>
          <w:szCs w:val="22"/>
          <w:color w:val="auto"/>
        </w:rPr>
        <w:t>. Section 11(j) of the Plan is hereby incorporated by reference.</w:t>
      </w:r>
    </w:p>
    <w:p>
      <w:pPr>
        <w:spacing w:after="0" w:line="26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the RSU Award or these RSU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Entire Agreement; Dispute Resolution</w:t>
      </w:r>
      <w:r>
        <w:rPr>
          <w:rFonts w:ascii="Arial" w:cs="Arial" w:eastAsia="Arial" w:hAnsi="Arial"/>
          <w:sz w:val="22"/>
          <w:szCs w:val="22"/>
          <w:color w:val="auto"/>
        </w:rPr>
        <w:t>. These RSU Terms and Conditions and all addendums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216"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11(K) of the Plan.</w:t>
      </w:r>
    </w:p>
    <w:p>
      <w:pPr>
        <w:spacing w:after="0" w:line="192" w:lineRule="exact"/>
        <w:rPr>
          <w:rFonts w:ascii="Arial" w:cs="Arial" w:eastAsia="Arial" w:hAnsi="Arial"/>
          <w:sz w:val="22"/>
          <w:szCs w:val="22"/>
          <w:color w:val="auto"/>
        </w:rPr>
      </w:pPr>
    </w:p>
    <w:p>
      <w:pPr>
        <w:ind w:left="660" w:hanging="328"/>
        <w:spacing w:after="0" w:line="274"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309" w:right="239" w:bottom="1440" w:gutter="0" w:footer="0" w:header="0"/>
        </w:sectPr>
      </w:pPr>
    </w:p>
    <w:bookmarkStart w:id="52" w:name="page53"/>
    <w:bookmarkEnd w:id="52"/>
    <w:p>
      <w:pPr>
        <w:jc w:val="both"/>
        <w:ind w:left="660"/>
        <w:spacing w:after="0" w:line="246" w:lineRule="auto"/>
        <w:rPr>
          <w:sz w:val="20"/>
          <w:szCs w:val="20"/>
          <w:color w:val="auto"/>
        </w:rPr>
      </w:pPr>
      <w:r>
        <w:rPr>
          <w:rFonts w:ascii="Arial" w:cs="Arial" w:eastAsia="Arial" w:hAnsi="Arial"/>
          <w:sz w:val="22"/>
          <w:szCs w:val="22"/>
          <w:color w:val="auto"/>
        </w:rPr>
        <w:t>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36" w:lineRule="exact"/>
        <w:rPr>
          <w:sz w:val="20"/>
          <w:szCs w:val="20"/>
          <w:color w:val="auto"/>
        </w:rPr>
      </w:pPr>
    </w:p>
    <w:p>
      <w:pPr>
        <w:jc w:val="both"/>
        <w:ind w:left="660" w:hanging="328"/>
        <w:spacing w:after="0" w:line="297"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RSU Terms and Conditions and the RSU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the United States without regard to principles of conflict of law.</w:t>
      </w:r>
    </w:p>
    <w:p>
      <w:pPr>
        <w:spacing w:after="0" w:line="114" w:lineRule="exact"/>
        <w:rPr>
          <w:rFonts w:ascii="Arial" w:cs="Arial" w:eastAsia="Arial" w:hAnsi="Arial"/>
          <w:sz w:val="22"/>
          <w:szCs w:val="22"/>
          <w:color w:val="auto"/>
        </w:rPr>
      </w:pPr>
    </w:p>
    <w:p>
      <w:pPr>
        <w:jc w:val="both"/>
        <w:ind w:left="660" w:hanging="328"/>
        <w:spacing w:after="0" w:line="245"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the RSU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stock or directorships held in the Company, and details of all options or any other entitlement to Shares or other equity of the Company awarded, canceled, purchased, vested, unvested or outstanding in Participant’s favor (“Data”).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equity on Participant’s behalf to a broker or other third party with whom Participant may elect to deposit any shares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7" w:lineRule="exact"/>
        <w:rPr>
          <w:rFonts w:ascii="Arial" w:cs="Arial" w:eastAsia="Arial" w:hAnsi="Arial"/>
          <w:sz w:val="22"/>
          <w:szCs w:val="22"/>
          <w:color w:val="auto"/>
        </w:rPr>
      </w:pPr>
    </w:p>
    <w:p>
      <w:pPr>
        <w:jc w:val="both"/>
        <w:ind w:left="660" w:hanging="328"/>
        <w:spacing w:after="0" w:line="246" w:lineRule="auto"/>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RSU Terms and Conditions to the contrary,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subject to any special terms and conditions for Participant’s country of residence set forth in an addendum to these RSU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 Award and the Plan (or the Company may establish alternative terms and conditions as may be necessary or advisable to accommodate Participant’s transfer). Any applicable Addendum shall constitute part of these RSU Terms and Conditions.</w:t>
      </w:r>
    </w:p>
    <w:p>
      <w:pPr>
        <w:spacing w:after="0" w:line="1" w:lineRule="exact"/>
        <w:rPr>
          <w:rFonts w:ascii="Arial" w:cs="Arial" w:eastAsia="Arial" w:hAnsi="Arial"/>
          <w:sz w:val="22"/>
          <w:szCs w:val="22"/>
          <w:b w:val="1"/>
          <w:bCs w:val="1"/>
          <w:color w:val="auto"/>
        </w:rPr>
      </w:pPr>
    </w:p>
    <w:p>
      <w:pPr>
        <w:ind w:left="660" w:hanging="328"/>
        <w:spacing w:after="0" w:line="249" w:lineRule="auto"/>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Private Placement. </w:t>
      </w:r>
      <w:r>
        <w:rPr>
          <w:rFonts w:ascii="Arial" w:cs="Arial" w:eastAsia="Arial" w:hAnsi="Arial"/>
          <w:sz w:val="22"/>
          <w:szCs w:val="22"/>
          <w:color w:val="auto"/>
        </w:rPr>
        <w:t>The grant of RSUs is not intended to be a public offering of securities in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country of residence (and country of employment, if</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78" w:right="239" w:bottom="1440" w:gutter="0" w:footer="0" w:header="0"/>
        </w:sectPr>
      </w:pPr>
    </w:p>
    <w:bookmarkStart w:id="53" w:name="page54"/>
    <w:bookmarkEnd w:id="53"/>
    <w:p>
      <w:pPr>
        <w:jc w:val="both"/>
        <w:ind w:left="660"/>
        <w:spacing w:after="0" w:line="246" w:lineRule="auto"/>
        <w:rPr>
          <w:sz w:val="20"/>
          <w:szCs w:val="20"/>
          <w:color w:val="auto"/>
        </w:rPr>
      </w:pPr>
      <w:r>
        <w:rPr>
          <w:rFonts w:ascii="Arial" w:cs="Arial" w:eastAsia="Arial" w:hAnsi="Arial"/>
          <w:sz w:val="22"/>
          <w:szCs w:val="22"/>
          <w:color w:val="auto"/>
        </w:rPr>
        <w:t>different). The Company has not submitted any registration statement, prospectus or other filings with the local securities authorities (unless otherwise required under local law), and the grant of the RSUs is not subject to the supervision of the local securities authorities.</w:t>
      </w:r>
    </w:p>
    <w:p>
      <w:pPr>
        <w:spacing w:after="0" w:line="223" w:lineRule="exact"/>
        <w:rPr>
          <w:sz w:val="20"/>
          <w:szCs w:val="20"/>
          <w:color w:val="auto"/>
        </w:rPr>
      </w:pPr>
    </w:p>
    <w:p>
      <w:pPr>
        <w:jc w:val="both"/>
        <w:ind w:left="660" w:hanging="328"/>
        <w:spacing w:after="0" w:line="251"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this RSU Award Agreement or the RSU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International Flavors &amp; Fragrances Inc.</w:t>
      </w:r>
    </w:p>
    <w:p>
      <w:pPr>
        <w:ind w:left="1300"/>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March 2014</w:t>
      </w:r>
    </w:p>
    <w:p>
      <w:pPr>
        <w:sectPr>
          <w:pgSz w:w="11900" w:h="16838" w:orient="portrait"/>
          <w:cols w:equalWidth="0" w:num="1">
            <w:col w:w="11420"/>
          </w:cols>
          <w:pgMar w:left="240" w:top="1078"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Douglas D. Tough, certify that:</w:t>
      </w:r>
    </w:p>
    <w:p>
      <w:pPr>
        <w:spacing w:after="0" w:line="22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4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6, 2014</w:t>
      </w:r>
    </w:p>
    <w:p>
      <w:pPr>
        <w:spacing w:after="0" w:line="63"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8540" w:type="dxa"/>
            <w:vAlign w:val="bottom"/>
          </w:tcPr>
          <w:p>
            <w:pPr>
              <w:ind w:left="20"/>
              <w:spacing w:after="0"/>
              <w:rPr>
                <w:sz w:val="20"/>
                <w:szCs w:val="20"/>
                <w:color w:val="auto"/>
              </w:rPr>
            </w:pPr>
            <w:r>
              <w:rPr>
                <w:rFonts w:ascii="Arial" w:cs="Arial" w:eastAsia="Arial" w:hAnsi="Arial"/>
                <w:sz w:val="18"/>
                <w:szCs w:val="18"/>
                <w:color w:val="auto"/>
              </w:rPr>
              <w:t>/s/ Douglas D. Tough</w:t>
            </w:r>
          </w:p>
        </w:tc>
      </w:tr>
      <w:tr>
        <w:trPr>
          <w:trHeight w:val="27"/>
        </w:trPr>
        <w:tc>
          <w:tcPr>
            <w:tcW w:w="68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8540" w:type="dxa"/>
            <w:vAlign w:val="bottom"/>
          </w:tcPr>
          <w:p>
            <w:pPr>
              <w:ind w:left="20"/>
              <w:spacing w:after="0"/>
              <w:rPr>
                <w:sz w:val="20"/>
                <w:szCs w:val="20"/>
                <w:color w:val="auto"/>
              </w:rPr>
            </w:pPr>
            <w:r>
              <w:rPr>
                <w:rFonts w:ascii="Arial" w:cs="Arial" w:eastAsia="Arial" w:hAnsi="Arial"/>
                <w:sz w:val="18"/>
                <w:szCs w:val="18"/>
                <w:color w:val="auto"/>
              </w:rPr>
              <w:t>Douglas D. Tough</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854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Kevin C. Berryman, certify that:</w:t>
      </w:r>
    </w:p>
    <w:p>
      <w:pPr>
        <w:spacing w:after="0" w:line="229"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May 6, 2014</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jc w:val="both"/>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March 31, 2014 as filed with the Securities and Exchange Commission on the date hereof (the "Report"), Douglas D. Tough, as Chief Executive Officer, and Kevin C. Berryman,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 Douglas D. Tough</w:t>
            </w:r>
          </w:p>
        </w:tc>
      </w:tr>
      <w:tr>
        <w:trPr>
          <w:trHeight w:val="27"/>
        </w:trPr>
        <w:tc>
          <w:tcPr>
            <w:tcW w:w="5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Douglas D. Tough</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w w:val="96"/>
              </w:rPr>
              <w:t>Chairman of the Board and Chief Executive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May 6, 2014</w:t>
            </w: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560" w:type="dxa"/>
            <w:vAlign w:val="bottom"/>
          </w:tcPr>
          <w:p>
            <w:pPr>
              <w:spacing w:after="0"/>
              <w:rPr>
                <w:sz w:val="2"/>
                <w:szCs w:val="2"/>
                <w:color w:val="auto"/>
              </w:rPr>
            </w:pPr>
          </w:p>
        </w:tc>
        <w:tc>
          <w:tcPr>
            <w:tcW w:w="3940" w:type="dxa"/>
            <w:vAlign w:val="bottom"/>
            <w:tcBorders>
              <w:bottom w:val="single" w:sz="8" w:color="auto"/>
            </w:tcBorders>
            <w:gridSpan w:val="2"/>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May 6, 2014</w:t>
            </w: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lvl w:ilvl="1">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32"/>
    </w:lvl>
  </w:abstractNum>
  <w:abstractNum w:abstractNumId="18">
    <w:nsid w:val="5577F8E1"/>
    <w:multiLevelType w:val="hybridMultilevel"/>
    <w:lvl w:ilvl="0">
      <w:lvlJc w:val="left"/>
      <w:lvlText w:val="%1"/>
      <w:numFmt w:val="decimal"/>
      <w:start w:val="32"/>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2"/>
    </w:lvl>
  </w:abstractNum>
  <w:abstractNum w:abstractNumId="22">
    <w:nsid w:val="77465F01"/>
    <w:multiLevelType w:val="hybridMultilevel"/>
    <w:lvl w:ilvl="0">
      <w:lvlJc w:val="left"/>
      <w:lvlText w:val="%1."/>
      <w:numFmt w:val="decimal"/>
      <w:start w:val="7"/>
    </w:lvl>
    <w:lvl w:ilvl="1">
      <w:lvlJc w:val="left"/>
      <w:lvlText w:val="%2"/>
      <w:numFmt w:val="lowerLetter"/>
      <w:start w:val="1"/>
    </w:lvl>
  </w:abstractNum>
  <w:abstractNum w:abstractNumId="23">
    <w:nsid w:val="7724C67E"/>
    <w:multiLevelType w:val="hybridMultilevel"/>
    <w:lvl w:ilvl="0">
      <w:lvlJc w:val="left"/>
      <w:lvlText w:val="%1."/>
      <w:numFmt w:val="decimal"/>
      <w:start w:val="10"/>
    </w:lvl>
    <w:lvl w:ilvl="1">
      <w:lvlJc w:val="left"/>
      <w:lvlText w:val="%2."/>
      <w:numFmt w:val="lowerLetter"/>
      <w:start w:val="1"/>
    </w:lvl>
  </w:abstractNum>
  <w:abstractNum w:abstractNumId="24">
    <w:nsid w:val="5C482A97"/>
    <w:multiLevelType w:val="hybridMultilevel"/>
    <w:lvl w:ilvl="0">
      <w:lvlJc w:val="left"/>
      <w:lvlText w:val="%1."/>
      <w:numFmt w:val="decimal"/>
      <w:start w:val="15"/>
    </w:lvl>
  </w:abstractNum>
  <w:abstractNum w:abstractNumId="25">
    <w:nsid w:val="2463B9EA"/>
    <w:multiLevelType w:val="hybridMultilevel"/>
    <w:lvl w:ilvl="0">
      <w:lvlJc w:val="left"/>
      <w:lvlText w:val="%1."/>
      <w:numFmt w:val="decimal"/>
      <w:start w:val="2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580BD78F"/>
    <w:multiLevelType w:val="hybridMultilevel"/>
    <w:lvl w:ilvl="0">
      <w:lvlJc w:val="left"/>
      <w:lvlText w:val="%1"/>
      <w:numFmt w:val="decimal"/>
      <w:start w:val="1"/>
    </w:lvl>
    <w:lvl w:ilvl="1">
      <w:lvlJc w:val="left"/>
      <w:lvlText w:val="(%2)"/>
      <w:numFmt w:val="lowerLetter"/>
      <w:start w:val="2"/>
    </w:lvl>
  </w:abstractNum>
  <w:abstractNum w:abstractNumId="30">
    <w:nsid w:val="153EA438"/>
    <w:multiLevelType w:val="hybridMultilevel"/>
    <w:lvl w:ilvl="0">
      <w:lvlJc w:val="left"/>
      <w:lvlText w:val="%1."/>
      <w:numFmt w:val="decimal"/>
      <w:start w:val="6"/>
    </w:lvl>
    <w:lvl w:ilvl="1">
      <w:lvlJc w:val="left"/>
      <w:lvlText w:val="(%2)"/>
      <w:numFmt w:val="lowerLetter"/>
      <w:start w:val="1"/>
    </w:lvl>
  </w:abstractNum>
  <w:abstractNum w:abstractNumId="31">
    <w:nsid w:val="3855585C"/>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lowerLetter"/>
      <w:start w:val="4"/>
    </w:lvl>
  </w:abstractNum>
  <w:abstractNum w:abstractNumId="32">
    <w:nsid w:val="70A64E2A"/>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lvl w:ilvl="3">
      <w:lvlJc w:val="left"/>
      <w:lvlText w:val="(%4)"/>
      <w:numFmt w:val="lowerLetter"/>
      <w:start w:val="1"/>
    </w:lvl>
  </w:abstractNum>
  <w:abstractNum w:abstractNumId="33">
    <w:nsid w:val="6A2342EC"/>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4">
    <w:nsid w:val="2A487CB0"/>
    <w:multiLevelType w:val="hybridMultilevel"/>
    <w:lvl w:ilvl="0">
      <w:lvlJc w:val="left"/>
      <w:lvlText w:val="%1"/>
      <w:numFmt w:val="upperLetter"/>
      <w:start w:val="1"/>
    </w:lvl>
    <w:lvl w:ilvl="1">
      <w:lvlJc w:val="left"/>
      <w:lvlText w:val="(%2)"/>
      <w:numFmt w:val="decimal"/>
      <w:start w:val="2"/>
    </w:lvl>
  </w:abstractNum>
  <w:abstractNum w:abstractNumId="35">
    <w:nsid w:val="1D4ED43B"/>
    <w:multiLevelType w:val="hybridMultilevel"/>
    <w:lvl w:ilvl="0">
      <w:lvlJc w:val="left"/>
      <w:lvlText w:val="%1."/>
      <w:numFmt w:val="upperLetter"/>
      <w:start w:val="2"/>
    </w:lvl>
    <w:lvl w:ilvl="1">
      <w:lvlJc w:val="left"/>
      <w:lvlText w:val="(%2)"/>
      <w:numFmt w:val="decimal"/>
      <w:start w:val="1"/>
    </w:lvl>
  </w:abstractNum>
  <w:abstractNum w:abstractNumId="36">
    <w:nsid w:val="725A06FB"/>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37">
    <w:nsid w:val="2CD89A3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8">
    <w:nsid w:val="57E4CCAF"/>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39">
    <w:nsid w:val="7A6D8D3C"/>
    <w:multiLevelType w:val="hybridMultilevel"/>
    <w:lvl w:ilvl="0">
      <w:lvlJc w:val="left"/>
      <w:lvlText w:val="%1."/>
      <w:numFmt w:val="decimal"/>
      <w:start w:val="11"/>
    </w:lvl>
    <w:lvl w:ilvl="1">
      <w:lvlJc w:val="left"/>
      <w:lvlText w:val="%2."/>
      <w:numFmt w:val="upperLetter"/>
      <w:start w:val="1"/>
    </w:lvl>
  </w:abstractNum>
  <w:abstractNum w:abstractNumId="40">
    <w:nsid w:val="4B588F54"/>
    <w:multiLevelType w:val="hybridMultilevel"/>
    <w:lvl w:ilvl="0">
      <w:lvlJc w:val="left"/>
      <w:lvlText w:val="%1."/>
      <w:numFmt w:val="decimal"/>
      <w:start w:val="17"/>
    </w:lvl>
  </w:abstractNum>
  <w:abstractNum w:abstractNumId="41">
    <w:nsid w:val="542289EC"/>
    <w:multiLevelType w:val="hybridMultilevel"/>
    <w:lvl w:ilvl="0">
      <w:lvlJc w:val="left"/>
      <w:lvlText w:val="%1."/>
      <w:numFmt w:val="decimal"/>
      <w:start w:val="22"/>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decimal"/>
      <w:start w:val="1"/>
    </w:lvl>
    <w:lvl w:ilvl="1">
      <w:lvlJc w:val="left"/>
      <w:lvlText w:val="%2."/>
      <w:numFmt w:val="lowerLetter"/>
      <w:start w:val="2"/>
    </w:lvl>
  </w:abstractNum>
  <w:abstractNum w:abstractNumId="44">
    <w:nsid w:val="7644A45C"/>
    <w:multiLevelType w:val="hybridMultilevel"/>
    <w:lvl w:ilvl="0">
      <w:lvlJc w:val="left"/>
      <w:lvlText w:val="%1."/>
      <w:numFmt w:val="decimal"/>
      <w:start w:val="7"/>
    </w:lvl>
    <w:lvl w:ilvl="1">
      <w:lvlJc w:val="left"/>
      <w:lvlText w:val="%2."/>
      <w:numFmt w:val="lowerLetter"/>
      <w:start w:val="1"/>
    </w:lvl>
  </w:abstractNum>
  <w:abstractNum w:abstractNumId="45">
    <w:nsid w:val="32FFF902"/>
    <w:multiLevelType w:val="hybridMultilevel"/>
    <w:lvl w:ilvl="0">
      <w:lvlJc w:val="left"/>
      <w:lvlText w:val="%1."/>
      <w:numFmt w:val="decimal"/>
      <w:start w:val="10"/>
    </w:lvl>
  </w:abstractNum>
  <w:abstractNum w:abstractNumId="46">
    <w:nsid w:val="684A481A"/>
    <w:multiLevelType w:val="hybridMultilevel"/>
    <w:lvl w:ilvl="0">
      <w:lvlJc w:val="left"/>
      <w:lvlText w:val="%1."/>
      <w:numFmt w:val="decimal"/>
      <w:start w:val="17"/>
    </w:lvl>
  </w:abstractNum>
  <w:abstractNum w:abstractNumId="47">
    <w:nsid w:val="579478FE"/>
    <w:multiLevelType w:val="hybridMultilevel"/>
    <w:lvl w:ilvl="0">
      <w:lvlJc w:val="left"/>
      <w:lvlText w:val="%1."/>
      <w:numFmt w:val="decimal"/>
      <w:start w:val="2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2019-12-05T11:05:34Z</dcterms:created>
  <dcterms:modified xsi:type="dcterms:W3CDTF">2019-12-05T11:05:34Z</dcterms:modified>
</cp:coreProperties>
</file>